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p>
    <w:p>
      <w:pPr>
        <w:jc w:val="center"/>
        <w:rPr>
          <w:rFonts w:ascii="华文中宋" w:hAnsi="华文中宋" w:eastAsia="华文中宋" w:cs="方正小标宋_GBK"/>
          <w:b/>
          <w:sz w:val="52"/>
          <w:szCs w:val="52"/>
        </w:rPr>
      </w:pPr>
      <w:r>
        <w:rPr>
          <w:rFonts w:hint="eastAsia" w:ascii="华文中宋" w:hAnsi="华文中宋" w:eastAsia="华文中宋" w:cs="方正小标宋_GBK"/>
          <w:b/>
          <w:sz w:val="52"/>
          <w:szCs w:val="52"/>
        </w:rPr>
        <w:t>承德市人民代表大会</w:t>
      </w:r>
    </w:p>
    <w:p>
      <w:pPr>
        <w:jc w:val="center"/>
        <w:rPr>
          <w:rFonts w:ascii="华文中宋" w:hAnsi="华文中宋" w:eastAsia="华文中宋"/>
          <w:b/>
          <w:sz w:val="52"/>
          <w:szCs w:val="52"/>
        </w:rPr>
      </w:pPr>
      <w:r>
        <w:rPr>
          <w:rFonts w:hint="eastAsia" w:ascii="华文中宋" w:hAnsi="华文中宋" w:eastAsia="华文中宋" w:cs="方正小标宋_GBK"/>
          <w:b/>
          <w:sz w:val="52"/>
          <w:szCs w:val="52"/>
        </w:rPr>
        <w:t>常务委员会办公室</w:t>
      </w:r>
    </w:p>
    <w:p>
      <w:pPr>
        <w:jc w:val="center"/>
        <w:rPr>
          <w:rFonts w:ascii="华文中宋" w:hAnsi="华文中宋" w:eastAsia="华文中宋"/>
          <w:b/>
          <w:sz w:val="52"/>
          <w:szCs w:val="52"/>
        </w:rPr>
      </w:pPr>
      <w:r>
        <w:rPr>
          <w:rFonts w:ascii="华文中宋" w:hAnsi="华文中宋" w:eastAsia="华文中宋"/>
          <w:b/>
          <w:sz w:val="52"/>
          <w:szCs w:val="52"/>
        </w:rPr>
        <w:t>202</w:t>
      </w:r>
      <w:r>
        <w:rPr>
          <w:rFonts w:hint="eastAsia" w:ascii="华文中宋" w:hAnsi="华文中宋" w:eastAsia="华文中宋"/>
          <w:b/>
          <w:sz w:val="52"/>
          <w:szCs w:val="52"/>
        </w:rPr>
        <w:t>2年部门预算绩效文本</w:t>
      </w:r>
    </w:p>
    <w:p>
      <w:pPr>
        <w:ind w:firstLine="880" w:firstLineChars="200"/>
        <w:jc w:val="center"/>
        <w:rPr>
          <w:rFonts w:ascii="黑体" w:eastAsia="黑体"/>
          <w:sz w:val="44"/>
          <w:szCs w:val="44"/>
        </w:rPr>
      </w:pPr>
    </w:p>
    <w:p>
      <w:pPr>
        <w:ind w:firstLine="880" w:firstLineChars="200"/>
        <w:jc w:val="center"/>
        <w:rPr>
          <w:rFonts w:hint="eastAsia" w:ascii="黑体" w:eastAsia="黑体"/>
          <w:sz w:val="44"/>
          <w:szCs w:val="44"/>
        </w:rPr>
      </w:pPr>
    </w:p>
    <w:p>
      <w:pPr>
        <w:ind w:firstLine="880" w:firstLineChars="200"/>
        <w:jc w:val="center"/>
        <w:rPr>
          <w:rFonts w:hint="eastAsia" w:ascii="黑体" w:eastAsia="黑体"/>
          <w:sz w:val="44"/>
          <w:szCs w:val="44"/>
        </w:rPr>
      </w:pPr>
    </w:p>
    <w:p>
      <w:pPr>
        <w:ind w:firstLine="880" w:firstLineChars="200"/>
        <w:jc w:val="center"/>
        <w:rPr>
          <w:rFonts w:hint="eastAsia" w:ascii="黑体" w:eastAsia="黑体"/>
          <w:sz w:val="44"/>
          <w:szCs w:val="44"/>
        </w:rPr>
      </w:pPr>
    </w:p>
    <w:p>
      <w:pPr>
        <w:ind w:firstLine="880" w:firstLineChars="200"/>
        <w:jc w:val="center"/>
        <w:rPr>
          <w:rFonts w:ascii="黑体" w:eastAsia="黑体"/>
          <w:sz w:val="44"/>
          <w:szCs w:val="44"/>
        </w:rPr>
      </w:pPr>
    </w:p>
    <w:p>
      <w:pPr>
        <w:ind w:firstLine="880" w:firstLineChars="200"/>
        <w:jc w:val="center"/>
        <w:rPr>
          <w:rFonts w:ascii="黑体" w:eastAsia="黑体"/>
          <w:sz w:val="44"/>
          <w:szCs w:val="44"/>
        </w:rPr>
      </w:pPr>
    </w:p>
    <w:p>
      <w:pPr>
        <w:rPr>
          <w:rFonts w:ascii="方正仿宋_GBK" w:eastAsia="方正仿宋_GBK"/>
          <w:szCs w:val="22"/>
        </w:rPr>
      </w:pPr>
    </w:p>
    <w:p>
      <w:pPr>
        <w:ind w:firstLine="420" w:firstLineChars="200"/>
        <w:jc w:val="center"/>
        <w:rPr>
          <w:rFonts w:ascii="方正仿宋_GBK" w:eastAsia="方正仿宋_GBK"/>
          <w:szCs w:val="22"/>
        </w:rPr>
      </w:pPr>
    </w:p>
    <w:p>
      <w:pPr>
        <w:ind w:firstLine="420" w:firstLineChars="200"/>
        <w:jc w:val="center"/>
        <w:rPr>
          <w:rFonts w:ascii="方正仿宋_GBK" w:eastAsia="方正仿宋_GBK"/>
          <w:szCs w:val="22"/>
        </w:rPr>
      </w:pPr>
    </w:p>
    <w:p>
      <w:pPr>
        <w:rPr>
          <w:rFonts w:ascii="方正仿宋_GBK" w:eastAsia="方正仿宋_GBK"/>
          <w:szCs w:val="22"/>
        </w:rPr>
      </w:pPr>
    </w:p>
    <w:p>
      <w:pPr>
        <w:jc w:val="center"/>
        <w:rPr>
          <w:rFonts w:eastAsia="方正楷体_GBK"/>
          <w:b/>
          <w:sz w:val="32"/>
          <w:szCs w:val="22"/>
        </w:rPr>
      </w:pPr>
      <w:r>
        <w:rPr>
          <w:rFonts w:hint="eastAsia" w:eastAsia="方正楷体_GBK"/>
          <w:b/>
          <w:sz w:val="32"/>
          <w:szCs w:val="22"/>
        </w:rPr>
        <w:t>承德市人民代表大会常务委员会办公室编制</w:t>
      </w:r>
    </w:p>
    <w:p>
      <w:pPr>
        <w:jc w:val="center"/>
        <w:rPr>
          <w:rFonts w:ascii="方正楷体_GBK" w:eastAsia="方正楷体_GBK"/>
          <w:b/>
          <w:sz w:val="32"/>
          <w:szCs w:val="22"/>
        </w:rPr>
      </w:pPr>
      <w:r>
        <w:rPr>
          <w:rFonts w:hint="eastAsia" w:eastAsia="方正楷体_GBK"/>
          <w:b/>
          <w:sz w:val="32"/>
          <w:szCs w:val="22"/>
        </w:rPr>
        <w:t>承德市财政局审核</w:t>
      </w:r>
    </w:p>
    <w:p>
      <w:pPr>
        <w:rPr>
          <w:szCs w:val="22"/>
        </w:rPr>
      </w:pPr>
    </w:p>
    <w:p>
      <w:pPr>
        <w:rPr>
          <w:szCs w:val="22"/>
        </w:rPr>
      </w:pPr>
    </w:p>
    <w:p>
      <w:pPr>
        <w:rPr>
          <w:rFonts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rPr>
        <w:t>录</w:t>
      </w:r>
    </w:p>
    <w:p>
      <w:pPr>
        <w:jc w:val="center"/>
        <w:rPr>
          <w:rFonts w:ascii="方正小标宋_GBK" w:hAnsi="方正小标宋_GBK" w:eastAsia="方正小标宋_GBK" w:cs="方正小标宋_GBK"/>
          <w:sz w:val="44"/>
          <w:szCs w:val="44"/>
        </w:rPr>
      </w:pPr>
    </w:p>
    <w:p>
      <w:pPr>
        <w:rPr>
          <w:rFonts w:ascii="华文中宋" w:hAnsi="华文中宋" w:eastAsia="华文中宋"/>
          <w:b/>
          <w:sz w:val="30"/>
          <w:szCs w:val="30"/>
        </w:rPr>
      </w:pPr>
      <w:r>
        <w:rPr>
          <w:rFonts w:hint="eastAsia" w:ascii="华文中宋" w:hAnsi="华文中宋" w:eastAsia="华文中宋"/>
          <w:b/>
          <w:sz w:val="30"/>
          <w:szCs w:val="30"/>
        </w:rPr>
        <w:t>第一部分</w:t>
      </w:r>
      <w:r>
        <w:rPr>
          <w:rFonts w:ascii="华文中宋" w:hAnsi="华文中宋" w:eastAsia="华文中宋"/>
          <w:b/>
          <w:sz w:val="30"/>
          <w:szCs w:val="30"/>
        </w:rPr>
        <w:t>202</w:t>
      </w:r>
      <w:r>
        <w:rPr>
          <w:rFonts w:hint="eastAsia" w:ascii="华文中宋" w:hAnsi="华文中宋" w:eastAsia="华文中宋"/>
          <w:b/>
          <w:sz w:val="30"/>
          <w:szCs w:val="30"/>
        </w:rPr>
        <w:t>2年部门整体绩效目标</w:t>
      </w:r>
      <w:r>
        <w:rPr>
          <w:rFonts w:ascii="华文中宋" w:hAnsi="华文中宋" w:eastAsia="华文中宋"/>
          <w:b/>
          <w:sz w:val="30"/>
          <w:szCs w:val="30"/>
        </w:rPr>
        <w:t>.............................3</w:t>
      </w:r>
    </w:p>
    <w:p>
      <w:pPr>
        <w:ind w:firstLine="301" w:firstLineChars="100"/>
        <w:rPr>
          <w:rFonts w:ascii="华文中宋" w:hAnsi="华文中宋" w:eastAsia="华文中宋"/>
          <w:b/>
          <w:sz w:val="30"/>
          <w:szCs w:val="30"/>
        </w:rPr>
      </w:pPr>
      <w:r>
        <w:rPr>
          <w:rFonts w:ascii="华文中宋" w:hAnsi="华文中宋" w:eastAsia="华文中宋"/>
          <w:b/>
          <w:sz w:val="30"/>
          <w:szCs w:val="30"/>
        </w:rPr>
        <w:t>1</w:t>
      </w:r>
      <w:r>
        <w:rPr>
          <w:rFonts w:hint="eastAsia" w:ascii="华文中宋" w:hAnsi="华文中宋" w:eastAsia="华文中宋"/>
          <w:b/>
          <w:sz w:val="30"/>
          <w:szCs w:val="30"/>
        </w:rPr>
        <w:t>、总体绩效目标</w:t>
      </w:r>
    </w:p>
    <w:p>
      <w:pPr>
        <w:ind w:firstLine="301" w:firstLineChars="100"/>
        <w:rPr>
          <w:rFonts w:ascii="华文中宋" w:hAnsi="华文中宋" w:eastAsia="华文中宋"/>
          <w:b/>
          <w:sz w:val="30"/>
          <w:szCs w:val="30"/>
        </w:rPr>
      </w:pPr>
      <w:r>
        <w:rPr>
          <w:rFonts w:ascii="华文中宋" w:hAnsi="华文中宋" w:eastAsia="华文中宋"/>
          <w:b/>
          <w:sz w:val="30"/>
          <w:szCs w:val="30"/>
        </w:rPr>
        <w:t>2</w:t>
      </w:r>
      <w:r>
        <w:rPr>
          <w:rFonts w:hint="eastAsia" w:ascii="华文中宋" w:hAnsi="华文中宋" w:eastAsia="华文中宋"/>
          <w:b/>
          <w:sz w:val="30"/>
          <w:szCs w:val="30"/>
        </w:rPr>
        <w:t>、分项绩效目标</w:t>
      </w:r>
    </w:p>
    <w:p>
      <w:pPr>
        <w:ind w:firstLine="301" w:firstLineChars="100"/>
        <w:rPr>
          <w:rFonts w:ascii="华文中宋" w:hAnsi="华文中宋" w:eastAsia="华文中宋"/>
          <w:b/>
          <w:sz w:val="30"/>
          <w:szCs w:val="30"/>
        </w:rPr>
      </w:pPr>
      <w:r>
        <w:rPr>
          <w:rFonts w:ascii="华文中宋" w:hAnsi="华文中宋" w:eastAsia="华文中宋"/>
          <w:b/>
          <w:sz w:val="30"/>
          <w:szCs w:val="30"/>
        </w:rPr>
        <w:t>3</w:t>
      </w:r>
      <w:r>
        <w:rPr>
          <w:rFonts w:hint="eastAsia" w:ascii="华文中宋" w:hAnsi="华文中宋" w:eastAsia="华文中宋"/>
          <w:b/>
          <w:sz w:val="30"/>
          <w:szCs w:val="30"/>
        </w:rPr>
        <w:t>、工作保障措施</w:t>
      </w:r>
    </w:p>
    <w:p>
      <w:pPr>
        <w:rPr>
          <w:rFonts w:ascii="华文中宋" w:hAnsi="华文中宋" w:eastAsia="华文中宋"/>
          <w:b/>
          <w:sz w:val="30"/>
          <w:szCs w:val="30"/>
        </w:rPr>
      </w:pPr>
      <w:r>
        <w:rPr>
          <w:rFonts w:hint="eastAsia" w:ascii="华文中宋" w:hAnsi="华文中宋" w:eastAsia="华文中宋"/>
          <w:b/>
          <w:sz w:val="30"/>
          <w:szCs w:val="30"/>
        </w:rPr>
        <w:t>第</w:t>
      </w:r>
      <w:r>
        <w:rPr>
          <w:rFonts w:hint="eastAsia" w:ascii="华文中宋" w:hAnsi="华文中宋" w:eastAsia="华文中宋"/>
          <w:b/>
          <w:sz w:val="30"/>
          <w:szCs w:val="30"/>
          <w:lang w:eastAsia="zh-CN"/>
        </w:rPr>
        <w:t>二部分</w:t>
      </w:r>
      <w:r>
        <w:rPr>
          <w:rFonts w:hint="eastAsia" w:ascii="华文中宋" w:hAnsi="华文中宋" w:eastAsia="华文中宋"/>
          <w:b/>
          <w:sz w:val="30"/>
          <w:szCs w:val="30"/>
        </w:rPr>
        <w:t>专项资金绩效目标</w:t>
      </w:r>
      <w:r>
        <w:rPr>
          <w:rFonts w:ascii="华文中宋" w:hAnsi="华文中宋" w:eastAsia="华文中宋"/>
          <w:b/>
          <w:sz w:val="30"/>
          <w:szCs w:val="30"/>
        </w:rPr>
        <w:t>...............................</w:t>
      </w:r>
      <w:r>
        <w:rPr>
          <w:rFonts w:hint="eastAsia" w:ascii="华文中宋" w:hAnsi="华文中宋" w:eastAsia="华文中宋"/>
          <w:b/>
          <w:sz w:val="30"/>
          <w:szCs w:val="30"/>
          <w:lang w:val="en-US" w:eastAsia="zh-CN"/>
        </w:rPr>
        <w:t xml:space="preserve"> </w:t>
      </w:r>
      <w:r>
        <w:rPr>
          <w:rFonts w:ascii="华文中宋" w:hAnsi="华文中宋" w:eastAsia="华文中宋"/>
          <w:b/>
          <w:sz w:val="30"/>
          <w:szCs w:val="30"/>
        </w:rPr>
        <w:t>...1</w:t>
      </w:r>
      <w:r>
        <w:rPr>
          <w:rFonts w:hint="eastAsia" w:ascii="华文中宋" w:hAnsi="华文中宋" w:eastAsia="华文中宋"/>
          <w:b/>
          <w:sz w:val="30"/>
          <w:szCs w:val="30"/>
        </w:rPr>
        <w:t>4</w:t>
      </w:r>
    </w:p>
    <w:p>
      <w:pPr>
        <w:rPr>
          <w:rFonts w:ascii="华文中宋" w:hAnsi="华文中宋" w:eastAsia="华文中宋"/>
          <w:b/>
          <w:sz w:val="30"/>
          <w:szCs w:val="30"/>
        </w:rPr>
      </w:pPr>
      <w:r>
        <w:rPr>
          <w:rFonts w:hint="eastAsia" w:ascii="华文中宋" w:hAnsi="华文中宋" w:eastAsia="华文中宋"/>
          <w:b/>
          <w:sz w:val="30"/>
          <w:szCs w:val="30"/>
        </w:rPr>
        <w:t>第三部</w:t>
      </w:r>
      <w:r>
        <w:rPr>
          <w:rFonts w:hint="eastAsia" w:ascii="华文中宋" w:hAnsi="华文中宋" w:eastAsia="华文中宋"/>
          <w:b/>
          <w:sz w:val="30"/>
          <w:szCs w:val="30"/>
          <w:lang w:eastAsia="zh-CN"/>
        </w:rPr>
        <w:t>分</w:t>
      </w:r>
      <w:r>
        <w:rPr>
          <w:rFonts w:hint="eastAsia" w:ascii="华文中宋" w:hAnsi="华文中宋" w:eastAsia="华文中宋"/>
          <w:b/>
          <w:sz w:val="30"/>
          <w:szCs w:val="30"/>
        </w:rPr>
        <w:t>预算项目绩效目标</w:t>
      </w:r>
      <w:r>
        <w:rPr>
          <w:rFonts w:ascii="华文中宋" w:hAnsi="华文中宋" w:eastAsia="华文中宋"/>
          <w:b/>
          <w:sz w:val="30"/>
          <w:szCs w:val="30"/>
        </w:rPr>
        <w:t>................................</w:t>
      </w:r>
      <w:r>
        <w:rPr>
          <w:rFonts w:hint="eastAsia" w:ascii="华文中宋" w:hAnsi="华文中宋" w:eastAsia="华文中宋"/>
          <w:b/>
          <w:sz w:val="30"/>
          <w:szCs w:val="30"/>
          <w:lang w:val="en-US" w:eastAsia="zh-CN"/>
        </w:rPr>
        <w:t xml:space="preserve"> </w:t>
      </w:r>
      <w:r>
        <w:rPr>
          <w:rFonts w:ascii="华文中宋" w:hAnsi="华文中宋" w:eastAsia="华文中宋"/>
          <w:b/>
          <w:sz w:val="30"/>
          <w:szCs w:val="30"/>
        </w:rPr>
        <w:t>..1</w:t>
      </w:r>
      <w:r>
        <w:rPr>
          <w:rFonts w:hint="eastAsia" w:ascii="华文中宋" w:hAnsi="华文中宋" w:eastAsia="华文中宋"/>
          <w:b/>
          <w:sz w:val="30"/>
          <w:szCs w:val="30"/>
        </w:rPr>
        <w:t>5</w:t>
      </w:r>
    </w:p>
    <w:p>
      <w:pPr>
        <w:ind w:firstLine="301" w:firstLineChars="100"/>
        <w:rPr>
          <w:rFonts w:ascii="华文中宋" w:hAnsi="华文中宋" w:eastAsia="华文中宋"/>
          <w:b/>
          <w:sz w:val="30"/>
          <w:szCs w:val="30"/>
        </w:rPr>
      </w:pPr>
      <w:r>
        <w:rPr>
          <w:rFonts w:ascii="华文中宋" w:hAnsi="华文中宋" w:eastAsia="华文中宋"/>
          <w:b/>
          <w:sz w:val="30"/>
          <w:szCs w:val="30"/>
        </w:rPr>
        <w:t>1</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2022年度会议费项目绩效目标表</w:t>
      </w:r>
    </w:p>
    <w:p>
      <w:pPr>
        <w:ind w:firstLine="301" w:firstLineChars="100"/>
        <w:rPr>
          <w:rFonts w:ascii="华文中宋" w:hAnsi="华文中宋" w:eastAsia="华文中宋"/>
          <w:b/>
          <w:sz w:val="30"/>
          <w:szCs w:val="30"/>
        </w:rPr>
      </w:pPr>
      <w:r>
        <w:rPr>
          <w:rFonts w:ascii="华文中宋" w:hAnsi="华文中宋" w:eastAsia="华文中宋"/>
          <w:b/>
          <w:sz w:val="30"/>
          <w:szCs w:val="30"/>
        </w:rPr>
        <w:t>2</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2022年度培训费项目绩效目标表</w:t>
      </w:r>
    </w:p>
    <w:p>
      <w:pPr>
        <w:pStyle w:val="28"/>
        <w:ind w:firstLine="301" w:firstLineChars="100"/>
        <w:rPr>
          <w:rFonts w:ascii="华文中宋" w:hAnsi="华文中宋" w:eastAsia="华文中宋"/>
          <w:b/>
          <w:sz w:val="30"/>
          <w:szCs w:val="30"/>
        </w:rPr>
      </w:pPr>
      <w:r>
        <w:rPr>
          <w:rFonts w:ascii="华文中宋" w:hAnsi="华文中宋" w:eastAsia="华文中宋"/>
          <w:b/>
          <w:sz w:val="30"/>
          <w:szCs w:val="30"/>
        </w:rPr>
        <w:t>3</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2022年度人大专网维护费项目绩效目标表</w:t>
      </w:r>
    </w:p>
    <w:p>
      <w:pPr>
        <w:ind w:firstLine="301" w:firstLineChars="100"/>
        <w:rPr>
          <w:rFonts w:ascii="华文中宋" w:hAnsi="华文中宋" w:eastAsia="华文中宋"/>
          <w:b/>
          <w:sz w:val="30"/>
          <w:szCs w:val="30"/>
        </w:rPr>
      </w:pPr>
      <w:r>
        <w:rPr>
          <w:rFonts w:ascii="华文中宋" w:hAnsi="华文中宋" w:eastAsia="华文中宋"/>
          <w:b/>
          <w:sz w:val="30"/>
          <w:szCs w:val="30"/>
        </w:rPr>
        <w:t>4</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2022年度视察议政业务费绩效目标表</w:t>
      </w:r>
    </w:p>
    <w:p>
      <w:pPr>
        <w:ind w:firstLine="301" w:firstLineChars="100"/>
        <w:rPr>
          <w:rFonts w:ascii="华文中宋" w:hAnsi="华文中宋" w:eastAsia="华文中宋"/>
          <w:b/>
          <w:sz w:val="30"/>
          <w:szCs w:val="30"/>
        </w:rPr>
      </w:pPr>
      <w:r>
        <w:rPr>
          <w:rFonts w:ascii="华文中宋" w:hAnsi="华文中宋" w:eastAsia="华文中宋"/>
          <w:b/>
          <w:sz w:val="30"/>
          <w:szCs w:val="30"/>
        </w:rPr>
        <w:t>5</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2022年度业务费项目绩效目标表</w:t>
      </w:r>
    </w:p>
    <w:p>
      <w:pPr>
        <w:ind w:firstLine="301" w:firstLineChars="100"/>
        <w:rPr>
          <w:rFonts w:ascii="华文中宋" w:hAnsi="华文中宋" w:eastAsia="华文中宋"/>
          <w:b/>
          <w:sz w:val="30"/>
          <w:szCs w:val="30"/>
        </w:rPr>
      </w:pPr>
      <w:r>
        <w:rPr>
          <w:rFonts w:ascii="华文中宋" w:hAnsi="华文中宋" w:eastAsia="华文中宋"/>
          <w:b/>
          <w:sz w:val="30"/>
          <w:szCs w:val="30"/>
        </w:rPr>
        <w:t>6</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2022年度招待费项目绩效目标表</w:t>
      </w:r>
    </w:p>
    <w:p>
      <w:pPr>
        <w:ind w:firstLine="301" w:firstLineChars="100"/>
        <w:rPr>
          <w:rFonts w:ascii="华文中宋" w:hAnsi="华文中宋" w:eastAsia="华文中宋"/>
          <w:b/>
          <w:sz w:val="30"/>
          <w:szCs w:val="30"/>
        </w:rPr>
      </w:pPr>
      <w:r>
        <w:rPr>
          <w:rFonts w:ascii="华文中宋" w:hAnsi="华文中宋" w:eastAsia="华文中宋"/>
          <w:b/>
          <w:sz w:val="30"/>
          <w:szCs w:val="30"/>
        </w:rPr>
        <w:t>7</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2022年度执法检查费项目绩效目标表</w:t>
      </w:r>
    </w:p>
    <w:p>
      <w:pPr>
        <w:ind w:firstLine="301" w:firstLineChars="100"/>
        <w:rPr>
          <w:rFonts w:hint="eastAsia" w:ascii="华文中宋" w:hAnsi="华文中宋" w:eastAsia="华文中宋"/>
          <w:b/>
          <w:sz w:val="30"/>
          <w:szCs w:val="30"/>
        </w:rPr>
      </w:pPr>
      <w:r>
        <w:rPr>
          <w:rFonts w:ascii="华文中宋" w:hAnsi="华文中宋" w:eastAsia="华文中宋"/>
          <w:b/>
          <w:sz w:val="30"/>
          <w:szCs w:val="30"/>
        </w:rPr>
        <w:t>8</w:t>
      </w:r>
      <w:r>
        <w:rPr>
          <w:rFonts w:hint="eastAsia" w:ascii="华文中宋" w:hAnsi="华文中宋" w:eastAsia="华文中宋"/>
          <w:b/>
          <w:sz w:val="30"/>
          <w:szCs w:val="30"/>
        </w:rPr>
        <w:t>、</w:t>
      </w:r>
      <w:r>
        <w:rPr>
          <w:rFonts w:ascii="华文中宋" w:hAnsi="华文中宋" w:eastAsia="华文中宋" w:cs="方正仿宋_GBK"/>
          <w:b/>
          <w:color w:val="000000"/>
          <w:sz w:val="30"/>
          <w:szCs w:val="30"/>
        </w:rPr>
        <w:t>2022年人大立法经费项目绩效目标表</w:t>
      </w:r>
    </w:p>
    <w:p>
      <w:pPr>
        <w:jc w:val="center"/>
        <w:rPr>
          <w:rFonts w:hint="eastAsia" w:ascii="华文中宋" w:hAnsi="华文中宋" w:eastAsia="华文中宋"/>
          <w:b/>
          <w:sz w:val="30"/>
          <w:szCs w:val="30"/>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hint="eastAsia" w:ascii="方正小标宋_GBK" w:eastAsia="方正小标宋_GBK"/>
          <w:sz w:val="44"/>
          <w:szCs w:val="44"/>
        </w:rPr>
      </w:pPr>
    </w:p>
    <w:p>
      <w:pPr>
        <w:jc w:val="center"/>
        <w:rPr>
          <w:rFonts w:ascii="方正小标宋_GBK" w:eastAsia="方正小标宋_GBK"/>
          <w:sz w:val="44"/>
          <w:szCs w:val="44"/>
        </w:rPr>
      </w:pPr>
    </w:p>
    <w:p>
      <w:pPr>
        <w:spacing w:line="700" w:lineRule="exact"/>
        <w:jc w:val="center"/>
        <w:rPr>
          <w:rFonts w:ascii="方正小标宋_GBK" w:eastAsia="方正小标宋_GBK"/>
          <w:sz w:val="44"/>
          <w:szCs w:val="44"/>
        </w:rPr>
      </w:pPr>
      <w:r>
        <w:rPr>
          <w:rFonts w:hint="eastAsia" w:ascii="方正小标宋_GBK" w:eastAsia="方正小标宋_GBK"/>
          <w:sz w:val="44"/>
          <w:szCs w:val="44"/>
        </w:rPr>
        <w:t>第一部分</w:t>
      </w:r>
    </w:p>
    <w:p>
      <w:pPr>
        <w:spacing w:line="700" w:lineRule="exact"/>
        <w:jc w:val="center"/>
        <w:rPr>
          <w:rFonts w:ascii="方正小标宋_GBK" w:eastAsia="方正小标宋_GBK"/>
          <w:sz w:val="44"/>
          <w:szCs w:val="44"/>
        </w:rPr>
      </w:pPr>
      <w:r>
        <w:rPr>
          <w:rFonts w:ascii="方正小标宋_GBK" w:eastAsia="方正小标宋_GBK"/>
          <w:sz w:val="44"/>
          <w:szCs w:val="44"/>
        </w:rPr>
        <w:t>202</w:t>
      </w:r>
      <w:r>
        <w:rPr>
          <w:rFonts w:hint="eastAsia" w:ascii="方正小标宋_GBK" w:eastAsia="方正小标宋_GBK"/>
          <w:sz w:val="44"/>
          <w:szCs w:val="44"/>
        </w:rPr>
        <w:t>2年部门整体绩效目标</w:t>
      </w:r>
    </w:p>
    <w:p>
      <w:pPr>
        <w:spacing w:line="200" w:lineRule="exact"/>
        <w:jc w:val="center"/>
        <w:rPr>
          <w:rFonts w:ascii="方正小标宋_GBK" w:eastAsia="方正小标宋_GBK"/>
          <w:sz w:val="44"/>
          <w:szCs w:val="44"/>
        </w:rPr>
      </w:pPr>
    </w:p>
    <w:p>
      <w:pPr>
        <w:spacing w:line="560" w:lineRule="exact"/>
        <w:ind w:firstLine="629"/>
        <w:rPr>
          <w:rFonts w:ascii="黑体" w:hAnsi="黑体" w:eastAsia="黑体" w:cs="黑体"/>
          <w:sz w:val="32"/>
          <w:szCs w:val="32"/>
        </w:rPr>
      </w:pPr>
      <w:r>
        <w:rPr>
          <w:rFonts w:hint="eastAsia" w:ascii="黑体" w:hAnsi="黑体" w:eastAsia="黑体" w:cs="黑体"/>
          <w:sz w:val="32"/>
          <w:szCs w:val="32"/>
        </w:rPr>
        <w:t>一、总体绩效目标</w:t>
      </w:r>
    </w:p>
    <w:p>
      <w:pPr>
        <w:spacing w:line="600" w:lineRule="exact"/>
        <w:ind w:firstLine="640" w:firstLineChars="200"/>
        <w:rPr>
          <w:rFonts w:hint="eastAsia" w:ascii="仿宋" w:hAnsi="仿宋" w:eastAsia="仿宋" w:cs="仿宋_GB2312"/>
          <w:sz w:val="32"/>
        </w:rPr>
      </w:pPr>
      <w:r>
        <w:rPr>
          <w:rFonts w:hint="eastAsia" w:ascii="仿宋" w:hAnsi="仿宋" w:eastAsia="仿宋" w:cs="仿宋_GB2312"/>
          <w:bCs/>
          <w:sz w:val="32"/>
          <w:szCs w:val="32"/>
        </w:rPr>
        <w:t>2022年是党的二十大召开之年，是实施“十四五”规划的关键之年。常委会工作的总体要求是：坚持以习近平新时代中国特色社会主义思想为指导，认真贯彻落实党的十九大和十九届历次全会精神，深入贯彻落实习近平总书记关于坚持和完善人民代表大会制度重要思想和中央、省委、市委人大工作会议精神，全面贯彻落实习近平总书记视察承德重要讲话指示和省、市党代会精神，坚持党的领导、人民当家作主、依法治国有机统一，</w:t>
      </w:r>
      <w:r>
        <w:rPr>
          <w:rFonts w:hint="eastAsia" w:ascii="仿宋" w:hAnsi="仿宋" w:eastAsia="仿宋" w:cs="仿宋_GB2312"/>
          <w:sz w:val="32"/>
        </w:rPr>
        <w:t>紧紧围绕“三区两城”发展定位和“八个聚焦聚力”重点任务，</w:t>
      </w:r>
      <w:r>
        <w:rPr>
          <w:rFonts w:hint="eastAsia" w:ascii="仿宋" w:hAnsi="仿宋" w:eastAsia="仿宋" w:cs="仿宋_GB2312"/>
          <w:sz w:val="32"/>
          <w:szCs w:val="32"/>
        </w:rPr>
        <w:t>忠实履行宪法法律赋予的各项职责，充分发挥人大制度优势和人大代表作用，大力发展全过程人民民主，奋力开创人大工作新局面</w:t>
      </w:r>
      <w:r>
        <w:rPr>
          <w:rFonts w:hint="eastAsia" w:ascii="仿宋" w:hAnsi="仿宋" w:eastAsia="仿宋" w:cs="仿宋_GB2312"/>
          <w:sz w:val="32"/>
        </w:rPr>
        <w:t>，努力为推进“四个再建功立业”、实现“二次创业”、加快建设</w:t>
      </w:r>
      <w:r>
        <w:rPr>
          <w:rFonts w:hint="eastAsia" w:ascii="仿宋" w:hAnsi="仿宋" w:eastAsia="仿宋" w:cs="仿宋_GB2312"/>
          <w:bCs/>
          <w:sz w:val="32"/>
        </w:rPr>
        <w:t>高质量发展的</w:t>
      </w:r>
      <w:r>
        <w:rPr>
          <w:rFonts w:hint="eastAsia" w:ascii="仿宋" w:hAnsi="仿宋" w:eastAsia="仿宋" w:cs="仿宋_GB2312"/>
          <w:sz w:val="32"/>
        </w:rPr>
        <w:t>“生态强市、魅力承德”贡献人大智慧和力量，以优异成绩迎接党的二十大胜利召开。</w:t>
      </w:r>
    </w:p>
    <w:p>
      <w:pPr>
        <w:spacing w:line="560" w:lineRule="exact"/>
        <w:ind w:firstLine="629"/>
        <w:rPr>
          <w:rFonts w:ascii="黑体" w:hAnsi="黑体" w:eastAsia="黑体" w:cs="黑体"/>
          <w:sz w:val="32"/>
          <w:szCs w:val="32"/>
        </w:rPr>
      </w:pPr>
      <w:r>
        <w:rPr>
          <w:rFonts w:hint="eastAsia" w:ascii="黑体" w:hAnsi="黑体" w:eastAsia="黑体" w:cs="黑体"/>
          <w:sz w:val="32"/>
          <w:szCs w:val="32"/>
        </w:rPr>
        <w:t>二、分项绩效目标</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（一）召开会议：会议费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绩效目标：按照《宪法》、《地方组织法》的规定，按时召开人大会议，保证会议顺利召开。规范会议议程，提高会议质量，提出代表建议、议案，充分发挥人大代表和常委会机关作用。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绩效指标：</w:t>
      </w:r>
      <w:r>
        <w:rPr>
          <w:rFonts w:hint="eastAsia" w:ascii="仿宋" w:hAnsi="仿宋" w:eastAsia="仿宋"/>
          <w:b/>
          <w:sz w:val="32"/>
          <w:szCs w:val="32"/>
        </w:rPr>
        <w:t>组织召开人代会。</w:t>
      </w:r>
      <w:r>
        <w:rPr>
          <w:rFonts w:hint="eastAsia" w:ascii="仿宋" w:hAnsi="仿宋" w:eastAsia="仿宋"/>
          <w:sz w:val="32"/>
          <w:szCs w:val="32"/>
        </w:rPr>
        <w:t>按照法律规定，承德市人民代表大会常务委员会每年至少召集一次人民代表大会。人代会属一类会议，出席会议的有</w:t>
      </w:r>
      <w:r>
        <w:rPr>
          <w:rFonts w:ascii="仿宋" w:hAnsi="仿宋" w:eastAsia="仿宋"/>
          <w:sz w:val="32"/>
          <w:szCs w:val="32"/>
        </w:rPr>
        <w:t>12</w:t>
      </w:r>
      <w:r>
        <w:rPr>
          <w:rFonts w:hint="eastAsia" w:ascii="仿宋" w:hAnsi="仿宋" w:eastAsia="仿宋"/>
          <w:sz w:val="32"/>
          <w:szCs w:val="32"/>
        </w:rPr>
        <w:t>个代表团，共</w:t>
      </w:r>
      <w:r>
        <w:rPr>
          <w:rFonts w:ascii="仿宋" w:hAnsi="仿宋" w:eastAsia="仿宋"/>
          <w:sz w:val="32"/>
          <w:szCs w:val="32"/>
        </w:rPr>
        <w:t>379</w:t>
      </w:r>
      <w:r>
        <w:rPr>
          <w:rFonts w:hint="eastAsia" w:ascii="仿宋" w:hAnsi="仿宋" w:eastAsia="仿宋"/>
          <w:sz w:val="32"/>
          <w:szCs w:val="32"/>
        </w:rPr>
        <w:t>名市级人大代表，列席人员包括驻市的全国、省人大代表，不是人大代表的部分市政府组成人员，各县、市人民法院院长、检察长，全体政协委员等。</w:t>
      </w:r>
      <w:r>
        <w:rPr>
          <w:rFonts w:hint="eastAsia" w:ascii="仿宋" w:hAnsi="仿宋" w:eastAsia="仿宋"/>
          <w:b/>
          <w:sz w:val="32"/>
          <w:szCs w:val="32"/>
        </w:rPr>
        <w:t>组织召开常委会</w:t>
      </w:r>
      <w:r>
        <w:rPr>
          <w:rFonts w:hint="eastAsia" w:ascii="仿宋" w:hAnsi="仿宋" w:eastAsia="仿宋"/>
          <w:sz w:val="32"/>
          <w:szCs w:val="32"/>
        </w:rPr>
        <w:t>。按照法律规定，地方各级人民代表大会每两个月至少召开一次常委会。参加常委会会议的人员为人大常委会委员</w:t>
      </w:r>
      <w:r>
        <w:rPr>
          <w:rFonts w:ascii="仿宋" w:hAnsi="仿宋" w:eastAsia="仿宋"/>
          <w:sz w:val="32"/>
          <w:szCs w:val="32"/>
        </w:rPr>
        <w:t>41</w:t>
      </w:r>
      <w:r>
        <w:rPr>
          <w:rFonts w:hint="eastAsia" w:ascii="仿宋" w:hAnsi="仿宋" w:eastAsia="仿宋"/>
          <w:sz w:val="32"/>
          <w:szCs w:val="32"/>
        </w:rPr>
        <w:t>人、列席会议的有“一府一委两院”主要负责人、各县市人大常委会主任、驻机关纪检组长、机关全体副处级以上干部和部分机关工作人员。</w:t>
      </w:r>
      <w:r>
        <w:rPr>
          <w:rFonts w:hint="eastAsia" w:ascii="仿宋" w:hAnsi="仿宋" w:eastAsia="仿宋"/>
          <w:b/>
          <w:sz w:val="32"/>
          <w:szCs w:val="32"/>
        </w:rPr>
        <w:t>组织召开主任会议。</w:t>
      </w:r>
      <w:r>
        <w:rPr>
          <w:rFonts w:hint="eastAsia" w:ascii="仿宋" w:hAnsi="仿宋" w:eastAsia="仿宋"/>
          <w:sz w:val="32"/>
          <w:szCs w:val="32"/>
        </w:rPr>
        <w:t>按照法律的相关规定，每次常委会召开前至少要召开一次主任会议，出席主任议的人员由常委会主任、副主任、秘书长，列席会议的人员有驻机关纪检组长、机关各工作委员会主要负责人。</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（二）代表工作：包括视察、议政业务、培训费</w:t>
      </w:r>
    </w:p>
    <w:p>
      <w:pPr>
        <w:spacing w:line="560" w:lineRule="exact"/>
        <w:ind w:firstLine="640" w:firstLineChars="200"/>
        <w:rPr>
          <w:rFonts w:ascii="仿宋" w:hAnsi="仿宋" w:eastAsia="仿宋"/>
          <w:kern w:val="0"/>
          <w:sz w:val="32"/>
          <w:szCs w:val="32"/>
        </w:rPr>
      </w:pPr>
      <w:r>
        <w:rPr>
          <w:rFonts w:hint="eastAsia" w:ascii="仿宋" w:hAnsi="仿宋" w:eastAsia="仿宋"/>
          <w:sz w:val="32"/>
          <w:szCs w:val="32"/>
        </w:rPr>
        <w:t>绩效目标：</w:t>
      </w:r>
      <w:r>
        <w:rPr>
          <w:rFonts w:hint="eastAsia" w:ascii="仿宋" w:hAnsi="仿宋" w:eastAsia="仿宋"/>
          <w:kern w:val="0"/>
          <w:sz w:val="32"/>
          <w:szCs w:val="32"/>
        </w:rPr>
        <w:t>常委会始终坚持正确把握“代表机关”职能定位，创新代表工作机制，健全代表工作平台，激发代表履职活力，全力支持和切实保障代表依法履行职责、充分发挥作用。</w:t>
      </w:r>
      <w:r>
        <w:rPr>
          <w:rFonts w:ascii="仿宋" w:hAnsi="仿宋" w:eastAsia="仿宋"/>
          <w:kern w:val="0"/>
          <w:sz w:val="32"/>
          <w:szCs w:val="32"/>
        </w:rPr>
        <w:t xml:space="preserve">  </w:t>
      </w:r>
    </w:p>
    <w:p>
      <w:pPr>
        <w:adjustRightInd w:val="0"/>
        <w:snapToGrid w:val="0"/>
        <w:spacing w:line="600" w:lineRule="exact"/>
        <w:ind w:firstLine="627" w:firstLineChars="196"/>
        <w:rPr>
          <w:rFonts w:hint="eastAsia" w:ascii="仿宋" w:hAnsi="仿宋" w:eastAsia="仿宋" w:cs="仿宋_GB2312"/>
          <w:sz w:val="32"/>
          <w:szCs w:val="32"/>
        </w:rPr>
      </w:pPr>
      <w:r>
        <w:rPr>
          <w:rFonts w:hint="eastAsia" w:ascii="仿宋" w:hAnsi="仿宋" w:eastAsia="仿宋"/>
          <w:kern w:val="0"/>
          <w:sz w:val="32"/>
          <w:szCs w:val="32"/>
        </w:rPr>
        <w:t>绩效指标：</w:t>
      </w:r>
      <w:r>
        <w:rPr>
          <w:rFonts w:hint="eastAsia" w:ascii="仿宋" w:hAnsi="仿宋" w:eastAsia="仿宋" w:cs="楷体_GB2312"/>
          <w:b/>
          <w:sz w:val="32"/>
          <w:szCs w:val="32"/>
          <w:shd w:val="clear" w:color="auto" w:fill="FFFFFF"/>
        </w:rPr>
        <w:t>搭建和拓展代表履职平台</w:t>
      </w:r>
      <w:r>
        <w:rPr>
          <w:rFonts w:hint="eastAsia" w:ascii="仿宋" w:hAnsi="仿宋" w:eastAsia="仿宋" w:cs="仿宋_GB2312"/>
          <w:bCs/>
          <w:sz w:val="32"/>
          <w:szCs w:val="32"/>
          <w:shd w:val="clear" w:color="auto" w:fill="FFFFFF"/>
        </w:rPr>
        <w:t>。坚持“双联三带”帮联带动、代表列席常委会会议、列席代表座谈会等制度机制，密切联系人民群众，畅通民意表达渠道。加强代表阵地建设，推进代表家站提档升级，在有条件的村、社区建立代表联络室，构建家、站、室“三位一体”服务平台体系。</w:t>
      </w:r>
      <w:r>
        <w:rPr>
          <w:rFonts w:hint="eastAsia" w:ascii="仿宋" w:hAnsi="仿宋" w:eastAsia="仿宋" w:cs="仿宋_GB2312"/>
          <w:sz w:val="32"/>
          <w:szCs w:val="32"/>
          <w:shd w:val="clear" w:color="auto" w:fill="FFFFFF"/>
        </w:rPr>
        <w:t>深入开展</w:t>
      </w:r>
      <w:r>
        <w:rPr>
          <w:rFonts w:hint="eastAsia" w:ascii="仿宋" w:hAnsi="仿宋" w:eastAsia="仿宋" w:cs="仿宋_GB2312"/>
          <w:sz w:val="32"/>
          <w:szCs w:val="32"/>
        </w:rPr>
        <w:t>“五星级代表之家”</w:t>
      </w:r>
      <w:r>
        <w:rPr>
          <w:rFonts w:hint="eastAsia" w:ascii="仿宋" w:hAnsi="仿宋" w:eastAsia="仿宋" w:cs="仿宋_GB2312"/>
          <w:sz w:val="32"/>
          <w:szCs w:val="32"/>
          <w:shd w:val="clear" w:color="auto" w:fill="FFFFFF"/>
        </w:rPr>
        <w:t>创建活动</w:t>
      </w:r>
      <w:r>
        <w:rPr>
          <w:rFonts w:hint="eastAsia" w:ascii="仿宋" w:hAnsi="仿宋" w:eastAsia="仿宋" w:cs="仿宋_GB2312"/>
          <w:sz w:val="32"/>
          <w:szCs w:val="32"/>
        </w:rPr>
        <w:t>，</w:t>
      </w:r>
      <w:r>
        <w:rPr>
          <w:rFonts w:hint="eastAsia" w:ascii="仿宋" w:hAnsi="仿宋" w:eastAsia="仿宋" w:cs="仿宋_GB2312"/>
          <w:bCs/>
          <w:sz w:val="32"/>
          <w:szCs w:val="32"/>
          <w:shd w:val="clear" w:color="auto" w:fill="FFFFFF"/>
        </w:rPr>
        <w:t>持续开展直选代表进家入站述职，年内述职比例不少于25%。</w:t>
      </w:r>
      <w:r>
        <w:rPr>
          <w:rFonts w:hint="eastAsia" w:ascii="仿宋" w:hAnsi="仿宋" w:eastAsia="仿宋" w:cs="仿宋_GB2312"/>
          <w:sz w:val="32"/>
          <w:szCs w:val="32"/>
        </w:rPr>
        <w:t>制定《高质量发展惠民生、人大代表展风采主题实践活动的实施意见》</w:t>
      </w:r>
      <w:r>
        <w:rPr>
          <w:rFonts w:hint="eastAsia" w:ascii="仿宋" w:hAnsi="仿宋" w:eastAsia="仿宋" w:cs="仿宋_GB2312"/>
          <w:bCs/>
          <w:sz w:val="32"/>
          <w:szCs w:val="32"/>
          <w:shd w:val="clear" w:color="auto" w:fill="FFFFFF"/>
        </w:rPr>
        <w:t>，深化拓展“人大代表展风采”主题实践系列活动，打造助力高质量发展、服务乡村振兴、造福人民群众的“人大品牌”。</w:t>
      </w:r>
      <w:r>
        <w:rPr>
          <w:rFonts w:hint="eastAsia" w:ascii="仿宋" w:hAnsi="仿宋" w:eastAsia="仿宋" w:cs="楷体_GB2312"/>
          <w:b/>
          <w:sz w:val="32"/>
          <w:szCs w:val="32"/>
          <w:shd w:val="clear" w:color="auto" w:fill="FFFFFF"/>
        </w:rPr>
        <w:t>支持和保障代表依法履职</w:t>
      </w:r>
      <w:r>
        <w:rPr>
          <w:rFonts w:hint="eastAsia" w:ascii="仿宋" w:hAnsi="仿宋" w:eastAsia="仿宋" w:cs="仿宋_GB2312"/>
          <w:bCs/>
          <w:sz w:val="32"/>
          <w:szCs w:val="32"/>
          <w:shd w:val="clear" w:color="auto" w:fill="FFFFFF"/>
        </w:rPr>
        <w:t>。加强代表履职培训，健全代表学习培训制度和规划，用好线上线下平台载体，创新代表培训方式方法，年内举办代表培训班2期。组织代表开展调研、视察、执法检查等活动，及时向代表通报重要工作情况，有效拓展闭会期间代表履职的形式和途径。</w:t>
      </w:r>
      <w:r>
        <w:rPr>
          <w:rFonts w:hint="eastAsia" w:ascii="仿宋" w:hAnsi="仿宋" w:eastAsia="仿宋" w:cs="仿宋_GB2312"/>
          <w:sz w:val="32"/>
          <w:szCs w:val="32"/>
        </w:rPr>
        <w:t>研究制定《承德市人大常委会代表履职管理办法（试行）》，推动履职管理制度化规范化常态化。</w:t>
      </w:r>
      <w:r>
        <w:rPr>
          <w:rFonts w:hint="eastAsia" w:ascii="仿宋" w:hAnsi="仿宋" w:eastAsia="仿宋" w:cs="仿宋_GB2312"/>
          <w:bCs/>
          <w:sz w:val="32"/>
          <w:szCs w:val="32"/>
          <w:shd w:val="clear" w:color="auto" w:fill="FFFFFF"/>
        </w:rPr>
        <w:t>高质量办好代表建议，健全完善重点议案建议督办、代表参与督办、工作机构跟踪督办、代表重要建议“直通车”等制度机制，实现代表建议办理满意率、落实率“双提升”。</w:t>
      </w:r>
      <w:r>
        <w:rPr>
          <w:rFonts w:hint="eastAsia" w:ascii="仿宋" w:hAnsi="仿宋" w:eastAsia="仿宋" w:cs="楷体_GB2312"/>
          <w:b/>
          <w:sz w:val="32"/>
          <w:szCs w:val="32"/>
          <w:shd w:val="clear" w:color="auto" w:fill="FFFFFF"/>
        </w:rPr>
        <w:t>依法做好人事任免工作</w:t>
      </w:r>
      <w:r>
        <w:rPr>
          <w:rFonts w:hint="eastAsia" w:ascii="仿宋" w:hAnsi="仿宋" w:eastAsia="仿宋" w:cs="仿宋_GB2312"/>
          <w:bCs/>
          <w:sz w:val="32"/>
          <w:szCs w:val="32"/>
          <w:shd w:val="clear" w:color="auto" w:fill="FFFFFF"/>
        </w:rPr>
        <w:t>。</w:t>
      </w:r>
      <w:r>
        <w:rPr>
          <w:rFonts w:hint="eastAsia" w:ascii="仿宋" w:hAnsi="仿宋" w:eastAsia="仿宋" w:cs="仿宋_GB2312"/>
          <w:sz w:val="32"/>
          <w:szCs w:val="32"/>
        </w:rPr>
        <w:t>坚持党管干部与人大依法任免相统一，充分发扬民主，严格依法办事，确保实现市委意图。坚持拟任职人员供职发言、颁发任命书和向宪法宣誓等制度。</w:t>
      </w:r>
      <w:r>
        <w:rPr>
          <w:rFonts w:hint="eastAsia" w:ascii="仿宋" w:hAnsi="仿宋" w:eastAsia="仿宋" w:cs="仿宋_GB2312"/>
          <w:bCs/>
          <w:sz w:val="32"/>
          <w:szCs w:val="32"/>
        </w:rPr>
        <w:t>适时修订</w:t>
      </w:r>
      <w:r>
        <w:rPr>
          <w:rFonts w:hint="eastAsia" w:ascii="仿宋" w:hAnsi="仿宋" w:eastAsia="仿宋" w:cs="仿宋_GB2312"/>
          <w:sz w:val="32"/>
          <w:szCs w:val="32"/>
        </w:rPr>
        <w:t>《承德市人大常委会人事任免办法》。研究制定常委会任命人员监督办法，稳步实施常委会任命人员任后监督。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（三）立法工作：立法经费</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绩效目标：常委会始终坚持以良法善治为引领，践行庄严使命，勇担时代责任，筑法治之基、行法治之力、积法治之势，助推法治承德建设依法有序、蹄疾步稳。</w:t>
      </w:r>
    </w:p>
    <w:p>
      <w:pPr>
        <w:spacing w:line="600" w:lineRule="exact"/>
        <w:ind w:firstLine="640" w:firstLineChars="200"/>
        <w:rPr>
          <w:rFonts w:ascii="仿宋_GB2312" w:hAnsi="仿宋_GB2312" w:eastAsia="仿宋_GB2312" w:cs="仿宋_GB2312"/>
          <w:bCs/>
          <w:sz w:val="32"/>
          <w:szCs w:val="32"/>
          <w:shd w:val="clear" w:color="auto" w:fill="FFFFFF"/>
        </w:rPr>
      </w:pPr>
      <w:r>
        <w:rPr>
          <w:rFonts w:hint="eastAsia" w:ascii="仿宋" w:hAnsi="仿宋" w:eastAsia="仿宋"/>
          <w:kern w:val="0"/>
          <w:sz w:val="32"/>
          <w:szCs w:val="32"/>
        </w:rPr>
        <w:t>绩效指标：</w:t>
      </w:r>
      <w:r>
        <w:rPr>
          <w:rFonts w:hint="eastAsia" w:ascii="仿宋" w:hAnsi="仿宋" w:eastAsia="仿宋" w:cs="楷体_GB2312"/>
          <w:b/>
          <w:sz w:val="32"/>
          <w:szCs w:val="32"/>
        </w:rPr>
        <w:t>发挥立法主导作用</w:t>
      </w:r>
      <w:r>
        <w:rPr>
          <w:rFonts w:hint="eastAsia" w:ascii="仿宋" w:hAnsi="仿宋" w:eastAsia="仿宋" w:cs="仿宋_GB2312"/>
          <w:sz w:val="32"/>
          <w:szCs w:val="32"/>
        </w:rPr>
        <w:t>。</w:t>
      </w:r>
      <w:r>
        <w:rPr>
          <w:rFonts w:hint="eastAsia" w:ascii="仿宋" w:hAnsi="仿宋" w:eastAsia="仿宋" w:cs="仿宋_GB2312"/>
          <w:bCs/>
          <w:sz w:val="32"/>
          <w:szCs w:val="32"/>
          <w:shd w:val="clear" w:color="auto" w:fill="FFFFFF"/>
        </w:rPr>
        <w:t>按照“服务大局、提质增效、扎实稳妥、务实管用”的立法工作思路，完善“党委领导、人大主导、政府依托、各方参与”的立法工作格局</w:t>
      </w:r>
      <w:r>
        <w:rPr>
          <w:rFonts w:hint="eastAsia" w:ascii="仿宋" w:hAnsi="仿宋" w:eastAsia="仿宋" w:cs="仿宋_GB2312"/>
          <w:bCs/>
          <w:sz w:val="32"/>
          <w:szCs w:val="32"/>
        </w:rPr>
        <w:t>，深入推进科学立法、民主立法、依法立法，</w:t>
      </w:r>
      <w:r>
        <w:rPr>
          <w:rFonts w:hint="eastAsia" w:ascii="仿宋" w:hAnsi="仿宋" w:eastAsia="仿宋" w:cs="仿宋_GB2312"/>
          <w:bCs/>
          <w:sz w:val="32"/>
          <w:szCs w:val="32"/>
          <w:shd w:val="clear" w:color="auto" w:fill="FFFFFF"/>
        </w:rPr>
        <w:t>在确保质量的前提下加快立法工作步伐</w:t>
      </w:r>
      <w:r>
        <w:rPr>
          <w:rFonts w:hint="eastAsia" w:ascii="仿宋" w:hAnsi="仿宋" w:eastAsia="仿宋" w:cs="仿宋_GB2312"/>
          <w:bCs/>
          <w:sz w:val="32"/>
          <w:szCs w:val="32"/>
        </w:rPr>
        <w:t>。健全完善立法选题、评估、论证、立项、起草、协商、审议等工作机制，正确处理各方利益，着力提升立法质效。探索建立立法信息联络站、立法信息采集点“两个基层阵地”和立法联系协作、立法联系顾问、立法专家咨询“三个支持团队”，畅通基层群众和社会组织参与立法互动的渠道，确保立法符合宪法精神、反映人民意愿、得到人民拥护。</w:t>
      </w:r>
      <w:r>
        <w:rPr>
          <w:rFonts w:hint="eastAsia" w:ascii="仿宋" w:hAnsi="仿宋" w:eastAsia="仿宋" w:cs="楷体_GB2312"/>
          <w:b/>
          <w:sz w:val="32"/>
          <w:szCs w:val="32"/>
          <w:shd w:val="clear" w:color="auto" w:fill="FFFFFF"/>
        </w:rPr>
        <w:t>推进高质量立法</w:t>
      </w:r>
      <w:r>
        <w:rPr>
          <w:rFonts w:hint="eastAsia" w:ascii="仿宋" w:hAnsi="仿宋" w:eastAsia="仿宋" w:cs="仿宋_GB2312"/>
          <w:bCs/>
          <w:sz w:val="32"/>
          <w:szCs w:val="32"/>
          <w:shd w:val="clear" w:color="auto" w:fill="FFFFFF"/>
        </w:rPr>
        <w:t>。按照省人大常委会的安排部署，扎实开展“落实指导意见，提升立法特色”年活动，坚持质量优先、质效并举，着力提高立法质量促发展、提升立法效率促善治，深入推进重点领域、新兴领域立法，加强创制性立法，增强立法的针对性、适用性、可操作性。制定出台禁止野外用火决定，年内继续审议城镇住宅物业管理条例、旅游市场管理条例、机动车停车场条例，对钒钛资源保护与利用、历史文化名城保护法规草案进行初审，围绕居家养老服务、学前教育安全管理、地方荣誉称号管理等立法项目开展调研，围绕山体保护利用、乡村旅游、节约用水等工作开展立法论证，着力打造一批有特色、能落地、真管用的地方性法规，为推进地方治理现代化提供法治保障。</w:t>
      </w:r>
      <w:bookmarkStart w:id="0" w:name="_Hlk93738034"/>
      <w:r>
        <w:rPr>
          <w:rFonts w:hint="eastAsia" w:ascii="仿宋" w:hAnsi="仿宋" w:eastAsia="仿宋" w:cs="楷体_GB2312"/>
          <w:b/>
          <w:sz w:val="32"/>
          <w:szCs w:val="32"/>
          <w:shd w:val="clear" w:color="auto" w:fill="FFFFFF"/>
        </w:rPr>
        <w:t>维护国家法制统一</w:t>
      </w:r>
      <w:r>
        <w:rPr>
          <w:rFonts w:hint="eastAsia" w:ascii="仿宋" w:hAnsi="仿宋" w:eastAsia="仿宋" w:cs="仿宋_GB2312"/>
          <w:bCs/>
          <w:sz w:val="32"/>
          <w:szCs w:val="32"/>
          <w:shd w:val="clear" w:color="auto" w:fill="FFFFFF"/>
        </w:rPr>
        <w:t>。认真履行宪法监督职责，坚持宪法确立的一系列制度、原则、规则，用科学有效、系统完备的制度体系保证宪法实施。加强普法监督，推动落实“谁执法谁普法”责任制，组织实施好“五年普法规划”和“国家宪法日”活动，就《关于推进“八五”法治宣传教育规划实施的决议》贯彻落实情况开展调研，提高普法的针对性和实效性</w:t>
      </w:r>
      <w:bookmarkEnd w:id="0"/>
      <w:r>
        <w:rPr>
          <w:rFonts w:hint="eastAsia" w:ascii="仿宋" w:hAnsi="仿宋" w:eastAsia="仿宋" w:cs="仿宋_GB2312"/>
          <w:bCs/>
          <w:sz w:val="32"/>
          <w:szCs w:val="32"/>
          <w:shd w:val="clear" w:color="auto" w:fill="FFFFFF"/>
        </w:rPr>
        <w:t>。提高备案审查工作质量，听取审议备案审查工作情况报告，加快建设备案审查信息平台，依法处理违宪违法问题，做到有件必备、有备必审、有错必纠。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（四）人大监督工作：执法检查费</w:t>
      </w:r>
    </w:p>
    <w:p>
      <w:pPr>
        <w:spacing w:line="600" w:lineRule="exact"/>
        <w:ind w:firstLine="640" w:firstLineChars="200"/>
        <w:rPr>
          <w:rFonts w:ascii="仿宋" w:hAnsi="仿宋" w:eastAsia="仿宋" w:cs="仿宋_GB2312"/>
          <w:sz w:val="32"/>
          <w:szCs w:val="32"/>
        </w:rPr>
      </w:pPr>
      <w:r>
        <w:rPr>
          <w:rFonts w:hint="eastAsia" w:ascii="仿宋" w:hAnsi="仿宋" w:eastAsia="仿宋"/>
          <w:sz w:val="32"/>
          <w:szCs w:val="32"/>
        </w:rPr>
        <w:t>绩效目标：</w:t>
      </w:r>
      <w:r>
        <w:rPr>
          <w:rFonts w:hint="eastAsia" w:ascii="仿宋" w:hAnsi="仿宋" w:eastAsia="仿宋" w:cs="仿宋_GB2312"/>
          <w:sz w:val="32"/>
          <w:szCs w:val="32"/>
        </w:rPr>
        <w:t>紧扣市十五次党代会、市委十五届四次全会和市十五届人大二次会议确定的目标任务，聚焦改革发展重点问题、群众关注的热点问题、法律法规实施中的堵点问题，实行正确监督、有效监督、依法监督</w:t>
      </w:r>
      <w:r>
        <w:rPr>
          <w:rFonts w:hint="eastAsia" w:ascii="仿宋" w:hAnsi="仿宋" w:eastAsia="仿宋" w:cs="仿宋_GB2312"/>
          <w:bCs/>
          <w:sz w:val="32"/>
          <w:szCs w:val="32"/>
        </w:rPr>
        <w:t>，寓支持于监督之中。</w:t>
      </w:r>
      <w:r>
        <w:rPr>
          <w:rFonts w:hint="eastAsia" w:ascii="仿宋" w:hAnsi="仿宋" w:eastAsia="仿宋" w:cs="仿宋_GB2312"/>
          <w:bCs/>
          <w:sz w:val="32"/>
          <w:szCs w:val="32"/>
          <w:shd w:val="clear" w:color="auto" w:fill="FFFFFF"/>
        </w:rPr>
        <w:t>研究制定加强和改进人大监督工作的实施意见，全面提升监督实效和规范化水平。</w:t>
      </w:r>
      <w:r>
        <w:rPr>
          <w:rFonts w:hint="eastAsia" w:ascii="仿宋" w:hAnsi="仿宋" w:eastAsia="仿宋" w:cs="仿宋_GB2312"/>
          <w:sz w:val="32"/>
          <w:szCs w:val="32"/>
        </w:rPr>
        <w:t>丰富和探索监督形式，注重运用联动监督、跟踪监督、特定问题调查等形式深化监督，推动“联动监督＋”工作制度化常态化，</w:t>
      </w:r>
      <w:r>
        <w:rPr>
          <w:rFonts w:hint="eastAsia" w:ascii="仿宋" w:hAnsi="仿宋" w:eastAsia="仿宋" w:cs="仿宋_GB2312"/>
          <w:bCs/>
          <w:sz w:val="32"/>
          <w:szCs w:val="32"/>
        </w:rPr>
        <w:t>巩固发展“真监督、真支持、真解决问题”的良好局面</w:t>
      </w:r>
      <w:r>
        <w:rPr>
          <w:rFonts w:hint="eastAsia" w:ascii="仿宋" w:hAnsi="仿宋" w:eastAsia="仿宋" w:cs="仿宋_GB2312"/>
          <w:sz w:val="32"/>
          <w:szCs w:val="32"/>
        </w:rPr>
        <w:t>，</w:t>
      </w:r>
      <w:r>
        <w:rPr>
          <w:rFonts w:hint="eastAsia" w:ascii="仿宋" w:hAnsi="仿宋" w:eastAsia="仿宋" w:cs="楷体_GB2312"/>
          <w:bCs/>
          <w:sz w:val="32"/>
          <w:szCs w:val="32"/>
        </w:rPr>
        <w:t>着力增强监督工作实效。</w:t>
      </w:r>
    </w:p>
    <w:p>
      <w:pPr>
        <w:spacing w:line="600" w:lineRule="exact"/>
        <w:ind w:firstLine="640" w:firstLineChars="200"/>
        <w:rPr>
          <w:rFonts w:ascii="仿宋" w:hAnsi="仿宋" w:eastAsia="仿宋" w:cs="仿宋_GB2312"/>
          <w:sz w:val="32"/>
          <w:szCs w:val="32"/>
        </w:rPr>
      </w:pPr>
      <w:r>
        <w:rPr>
          <w:rFonts w:hint="eastAsia" w:ascii="仿宋" w:hAnsi="仿宋" w:eastAsia="仿宋" w:cs="楷体_GB2312"/>
          <w:bCs/>
          <w:sz w:val="32"/>
          <w:szCs w:val="32"/>
        </w:rPr>
        <w:t>绩效指标：</w:t>
      </w:r>
      <w:r>
        <w:rPr>
          <w:rFonts w:hint="eastAsia" w:ascii="仿宋" w:hAnsi="仿宋" w:eastAsia="仿宋" w:cs="楷体_GB2312"/>
          <w:b/>
          <w:sz w:val="32"/>
          <w:szCs w:val="32"/>
          <w:lang w:val="zh-CN"/>
        </w:rPr>
        <w:t>加强经济工作监督</w:t>
      </w:r>
      <w:r>
        <w:rPr>
          <w:rFonts w:hint="eastAsia" w:ascii="仿宋" w:hAnsi="仿宋" w:eastAsia="仿宋" w:cs="仿宋_GB2312"/>
          <w:bCs/>
          <w:sz w:val="32"/>
          <w:szCs w:val="32"/>
          <w:lang w:val="zh-CN"/>
        </w:rPr>
        <w:t>。根据全国人大常委会新修订的</w:t>
      </w:r>
      <w:r>
        <w:rPr>
          <w:rFonts w:hint="eastAsia" w:ascii="仿宋" w:hAnsi="仿宋" w:eastAsia="仿宋" w:cs="仿宋_GB2312"/>
          <w:sz w:val="32"/>
          <w:szCs w:val="32"/>
          <w:shd w:val="clear" w:color="auto" w:fill="FFFFFF"/>
        </w:rPr>
        <w:t>关于加强经济工作监督的决定，制定</w:t>
      </w:r>
      <w:r>
        <w:rPr>
          <w:rFonts w:hint="eastAsia" w:ascii="仿宋" w:hAnsi="仿宋" w:eastAsia="仿宋" w:cs="仿宋_GB2312"/>
          <w:sz w:val="32"/>
          <w:szCs w:val="32"/>
        </w:rPr>
        <w:t>出台《承德市人大常委会关于加强经济工作监督的决定》，进一步规范监督程序，明确监督重点，增强监督实效。集中开展“5+2”联动监督，即按照省人大常委会统一部署，就重点项目建设、优化营商环境、地下水超采治理、农村人居环境整治提升、城市生活垃圾分类管理等五个领域开展联动监督；在此基础上，对我市农业结构调整、开发区（高新区）提升进行联动监督，着力解决制约经济社会高质量发展的重点难点问题。</w:t>
      </w:r>
      <w:r>
        <w:rPr>
          <w:rFonts w:hint="eastAsia" w:ascii="仿宋" w:hAnsi="仿宋" w:eastAsia="仿宋" w:cs="仿宋_GB2312"/>
          <w:sz w:val="32"/>
          <w:szCs w:val="32"/>
          <w:shd w:val="clear" w:color="auto" w:fill="FFFFFF"/>
        </w:rPr>
        <w:t>听取2022年国民经济和社会发展计划上半年执行情况的报告，</w:t>
      </w:r>
      <w:r>
        <w:rPr>
          <w:rFonts w:hint="eastAsia" w:ascii="仿宋" w:hAnsi="仿宋" w:eastAsia="仿宋" w:cs="仿宋_GB2312"/>
          <w:bCs/>
          <w:sz w:val="32"/>
          <w:szCs w:val="32"/>
          <w:shd w:val="clear" w:color="auto" w:fill="FFFFFF"/>
        </w:rPr>
        <w:t>加强对财源性项目建设监督，对政府金融工作、山杏产业发展情况等进行调研，推动全市经济社会平稳健康发展</w:t>
      </w:r>
      <w:r>
        <w:rPr>
          <w:rFonts w:hint="eastAsia" w:ascii="仿宋" w:hAnsi="仿宋" w:eastAsia="仿宋" w:cs="仿宋_GB2312"/>
          <w:sz w:val="32"/>
          <w:szCs w:val="32"/>
          <w:shd w:val="clear" w:color="auto" w:fill="FFFFFF"/>
        </w:rPr>
        <w:t>。</w:t>
      </w:r>
      <w:r>
        <w:rPr>
          <w:rFonts w:hint="eastAsia" w:ascii="仿宋" w:hAnsi="仿宋" w:eastAsia="仿宋" w:cs="楷体_GB2312"/>
          <w:b/>
          <w:sz w:val="32"/>
          <w:szCs w:val="32"/>
          <w:shd w:val="clear" w:color="auto" w:fill="FFFFFF"/>
        </w:rPr>
        <w:t>加强预决算审查和国有资产监督</w:t>
      </w:r>
      <w:r>
        <w:rPr>
          <w:rFonts w:hint="eastAsia" w:ascii="仿宋" w:hAnsi="仿宋" w:eastAsia="仿宋" w:cs="仿宋_GB2312"/>
          <w:bCs/>
          <w:sz w:val="32"/>
          <w:szCs w:val="32"/>
          <w:shd w:val="clear" w:color="auto" w:fill="FFFFFF"/>
        </w:rPr>
        <w:t>。研究</w:t>
      </w:r>
      <w:r>
        <w:rPr>
          <w:rFonts w:hint="eastAsia" w:ascii="仿宋" w:hAnsi="仿宋" w:eastAsia="仿宋" w:cs="仿宋_GB2312"/>
          <w:sz w:val="32"/>
          <w:szCs w:val="32"/>
          <w:shd w:val="clear" w:color="auto" w:fill="FFFFFF"/>
        </w:rPr>
        <w:t>制定《关于建立市政府向市人大常委会报告</w:t>
      </w:r>
      <w:r>
        <w:rPr>
          <w:rFonts w:hint="eastAsia" w:ascii="仿宋" w:hAnsi="仿宋" w:eastAsia="仿宋" w:cs="仿宋_GB2312"/>
          <w:sz w:val="32"/>
          <w:szCs w:val="32"/>
        </w:rPr>
        <w:t>地方政府债务管理情况制度的意见》</w:t>
      </w:r>
      <w:r>
        <w:rPr>
          <w:rFonts w:hint="eastAsia" w:ascii="仿宋" w:hAnsi="仿宋" w:eastAsia="仿宋" w:cs="仿宋_GB2312"/>
          <w:sz w:val="32"/>
          <w:szCs w:val="32"/>
          <w:shd w:val="clear" w:color="auto" w:fill="FFFFFF"/>
        </w:rPr>
        <w:t>，</w:t>
      </w:r>
      <w:r>
        <w:rPr>
          <w:rFonts w:hint="eastAsia" w:ascii="仿宋" w:hAnsi="仿宋" w:eastAsia="仿宋" w:cs="仿宋_GB2312"/>
          <w:bCs/>
          <w:sz w:val="32"/>
          <w:szCs w:val="32"/>
          <w:shd w:val="clear" w:color="auto" w:fill="FFFFFF"/>
        </w:rPr>
        <w:t>修改完善</w:t>
      </w:r>
      <w:r>
        <w:rPr>
          <w:rFonts w:hint="eastAsia" w:ascii="仿宋" w:hAnsi="仿宋" w:eastAsia="仿宋" w:cs="仿宋_GB2312"/>
          <w:sz w:val="32"/>
          <w:szCs w:val="32"/>
          <w:shd w:val="clear" w:color="auto" w:fill="FFFFFF"/>
        </w:rPr>
        <w:t>《市政府向市人大常委会报告国有资产管理情况办法》</w:t>
      </w:r>
      <w:r>
        <w:rPr>
          <w:rFonts w:hint="eastAsia" w:ascii="仿宋" w:hAnsi="仿宋" w:eastAsia="仿宋" w:cs="仿宋_GB2312"/>
          <w:sz w:val="32"/>
          <w:szCs w:val="32"/>
        </w:rPr>
        <w:t>。</w:t>
      </w:r>
      <w:r>
        <w:rPr>
          <w:rFonts w:hint="eastAsia" w:ascii="仿宋" w:hAnsi="仿宋" w:eastAsia="仿宋" w:cs="仿宋_GB2312"/>
          <w:sz w:val="32"/>
          <w:szCs w:val="32"/>
          <w:shd w:val="clear" w:color="auto" w:fill="FFFFFF"/>
        </w:rPr>
        <w:t>听取审议2021年财政决算情况、2022年上半年预算执行情况、2021年市本级预算执行和其他财政收支情况审计及审计整改情况等报告。</w:t>
      </w:r>
      <w:r>
        <w:rPr>
          <w:rFonts w:hint="eastAsia" w:ascii="仿宋" w:hAnsi="仿宋" w:eastAsia="仿宋" w:cs="仿宋_GB2312"/>
          <w:sz w:val="32"/>
          <w:szCs w:val="32"/>
        </w:rPr>
        <w:t>对</w:t>
      </w:r>
      <w:r>
        <w:rPr>
          <w:rFonts w:hint="eastAsia" w:ascii="仿宋" w:hAnsi="仿宋" w:eastAsia="仿宋" w:cs="仿宋_GB2312"/>
          <w:bCs/>
          <w:sz w:val="32"/>
          <w:szCs w:val="32"/>
          <w:shd w:val="clear" w:color="auto" w:fill="FFFFFF"/>
        </w:rPr>
        <w:t>国有资产管理及审计工作、政府性债务风险防范情况进行调研，对国有自然资源资产管理情况进行视察并开展专题询问。落实新《审计法》要求，开展对国有资产审计监督，</w:t>
      </w:r>
      <w:r>
        <w:rPr>
          <w:rFonts w:hint="eastAsia" w:ascii="仿宋" w:hAnsi="仿宋" w:eastAsia="仿宋" w:cs="仿宋_GB2312"/>
          <w:sz w:val="32"/>
          <w:szCs w:val="32"/>
          <w:shd w:val="clear" w:color="auto" w:fill="FFFFFF"/>
        </w:rPr>
        <w:t>加大对国有企业年度审计力度。</w:t>
      </w:r>
      <w:r>
        <w:rPr>
          <w:rFonts w:hint="eastAsia" w:ascii="仿宋" w:hAnsi="仿宋" w:eastAsia="仿宋" w:cs="楷体_GB2312"/>
          <w:b/>
          <w:sz w:val="32"/>
          <w:szCs w:val="32"/>
          <w:shd w:val="clear" w:color="auto" w:fill="FFFFFF"/>
        </w:rPr>
        <w:t>加强生态环境可持续发展监督</w:t>
      </w:r>
      <w:r>
        <w:rPr>
          <w:rFonts w:hint="eastAsia" w:ascii="仿宋" w:hAnsi="仿宋" w:eastAsia="仿宋" w:cs="仿宋_GB2312"/>
          <w:bCs/>
          <w:sz w:val="32"/>
          <w:szCs w:val="32"/>
          <w:shd w:val="clear" w:color="auto" w:fill="FFFFFF"/>
        </w:rPr>
        <w:t>。</w:t>
      </w:r>
      <w:r>
        <w:rPr>
          <w:rFonts w:hint="eastAsia" w:ascii="仿宋" w:hAnsi="仿宋" w:eastAsia="仿宋" w:cs="仿宋_GB2312"/>
          <w:sz w:val="32"/>
          <w:szCs w:val="32"/>
        </w:rPr>
        <w:t>听取市政府年度环境质量状况和环境保护目标完成情况的报告，助力打造更高水平的生态环境。</w:t>
      </w:r>
      <w:r>
        <w:rPr>
          <w:rFonts w:hint="eastAsia" w:ascii="仿宋" w:hAnsi="仿宋" w:eastAsia="仿宋" w:cs="仿宋_GB2312"/>
          <w:bCs/>
          <w:sz w:val="32"/>
          <w:szCs w:val="32"/>
          <w:shd w:val="clear" w:color="auto" w:fill="FFFFFF"/>
        </w:rPr>
        <w:t>就《塞罕坝森林草原防火条例》和市人大常委会《决议》、禁止野外用火决定实施情况开展执法检查，用法治力量确保人民群众生命财产和森林草原资源安全。</w:t>
      </w:r>
      <w:r>
        <w:rPr>
          <w:rFonts w:hint="eastAsia" w:ascii="仿宋" w:hAnsi="仿宋" w:eastAsia="仿宋" w:cs="仿宋_GB2312"/>
          <w:bCs/>
          <w:sz w:val="32"/>
          <w:szCs w:val="32"/>
        </w:rPr>
        <w:t>对市政府落实《关于高质量推进承德国家可持续发展议程创新示范区建设的决议》情况进行监督检查，推动决议落实落地。听取审议</w:t>
      </w:r>
      <w:r>
        <w:rPr>
          <w:rFonts w:hint="eastAsia" w:ascii="仿宋" w:hAnsi="仿宋" w:eastAsia="仿宋" w:cs="仿宋_GB2312"/>
          <w:bCs/>
          <w:sz w:val="32"/>
          <w:szCs w:val="32"/>
          <w:shd w:val="clear" w:color="auto" w:fill="FFFFFF"/>
        </w:rPr>
        <w:t>《国土空间总体规划（2020-2035年）（草案）》，推动我市科学有序统筹布局生态、生产、生活等功能空间。</w:t>
      </w:r>
      <w:r>
        <w:rPr>
          <w:rFonts w:hint="eastAsia" w:ascii="仿宋" w:hAnsi="仿宋" w:eastAsia="仿宋" w:cs="楷体_GB2312"/>
          <w:b/>
          <w:sz w:val="32"/>
          <w:szCs w:val="32"/>
          <w:shd w:val="clear" w:color="auto" w:fill="FFFFFF"/>
        </w:rPr>
        <w:t>加强民生保障监督</w:t>
      </w:r>
      <w:r>
        <w:rPr>
          <w:rFonts w:hint="eastAsia" w:ascii="仿宋" w:hAnsi="仿宋" w:eastAsia="仿宋" w:cs="仿宋_GB2312"/>
          <w:bCs/>
          <w:sz w:val="32"/>
          <w:szCs w:val="32"/>
          <w:shd w:val="clear" w:color="auto" w:fill="FFFFFF"/>
        </w:rPr>
        <w:t>。聚焦人民群众所思所盼所愿，着力推动民生问题优先解决、民心工程加快实施、惠民政策更好落实，持续增进人民福祉。对学校安全、城市市容和环境卫生、道路交通安全等法律法规实施情况进行执法检查，对乡村建设、冰雪运动场馆运营、养老服务等工作进行视察调研，着力解决人民群众需要解决的实际问题。</w:t>
      </w:r>
      <w:r>
        <w:rPr>
          <w:rFonts w:hint="eastAsia" w:ascii="仿宋" w:hAnsi="仿宋" w:eastAsia="仿宋" w:cs="仿宋_GB2312"/>
          <w:sz w:val="32"/>
          <w:szCs w:val="32"/>
        </w:rPr>
        <w:t>加强对人大代表票决的民生实事项目的监督推动工作，并进行工作评议，确保民生实事项目顺利实施、高质量完成。</w:t>
      </w:r>
      <w:r>
        <w:rPr>
          <w:rFonts w:hint="eastAsia" w:ascii="仿宋" w:hAnsi="仿宋" w:eastAsia="仿宋" w:cs="仿宋_GB2312"/>
          <w:bCs/>
          <w:sz w:val="32"/>
          <w:szCs w:val="32"/>
          <w:shd w:val="clear" w:color="auto" w:fill="FFFFFF"/>
        </w:rPr>
        <w:t>认真做好人民群众来信来访工作，维护人民群众合法权益。</w:t>
      </w:r>
      <w:r>
        <w:rPr>
          <w:rFonts w:hint="eastAsia" w:ascii="仿宋" w:hAnsi="仿宋" w:eastAsia="仿宋" w:cs="楷体_GB2312"/>
          <w:b/>
          <w:sz w:val="32"/>
          <w:szCs w:val="32"/>
          <w:shd w:val="clear" w:color="auto" w:fill="FFFFFF"/>
        </w:rPr>
        <w:t>加强执法司法监督</w:t>
      </w:r>
      <w:r>
        <w:rPr>
          <w:rFonts w:hint="eastAsia" w:ascii="仿宋" w:hAnsi="仿宋" w:eastAsia="仿宋" w:cs="仿宋_GB2312"/>
          <w:bCs/>
          <w:sz w:val="32"/>
          <w:szCs w:val="32"/>
          <w:shd w:val="clear" w:color="auto" w:fill="FFFFFF"/>
        </w:rPr>
        <w:t>。</w:t>
      </w:r>
      <w:bookmarkStart w:id="1" w:name="_Hlk93826220"/>
      <w:r>
        <w:rPr>
          <w:rFonts w:hint="eastAsia" w:ascii="仿宋" w:hAnsi="仿宋" w:eastAsia="仿宋" w:cs="仿宋_GB2312"/>
          <w:bCs/>
          <w:sz w:val="32"/>
          <w:szCs w:val="32"/>
          <w:shd w:val="clear" w:color="auto" w:fill="FFFFFF"/>
        </w:rPr>
        <w:t>听取审议法治政府建设的报告，探索开展人民警察履职评议，促进依法行政、严格执法。</w:t>
      </w:r>
      <w:r>
        <w:rPr>
          <w:rFonts w:hint="eastAsia" w:ascii="仿宋" w:hAnsi="仿宋" w:eastAsia="仿宋" w:cs="仿宋_GB2312"/>
          <w:sz w:val="32"/>
          <w:szCs w:val="32"/>
        </w:rPr>
        <w:t>对</w:t>
      </w:r>
      <w:r>
        <w:rPr>
          <w:rFonts w:hint="eastAsia" w:ascii="仿宋" w:hAnsi="仿宋" w:eastAsia="仿宋" w:cs="仿宋_GB2312"/>
          <w:bCs/>
          <w:sz w:val="32"/>
          <w:szCs w:val="32"/>
          <w:shd w:val="clear" w:color="auto" w:fill="FFFFFF"/>
        </w:rPr>
        <w:t>法院民事执行、</w:t>
      </w:r>
      <w:r>
        <w:rPr>
          <w:rFonts w:hint="eastAsia" w:ascii="仿宋" w:hAnsi="仿宋" w:eastAsia="仿宋" w:cs="仿宋_GB2312"/>
          <w:sz w:val="32"/>
          <w:szCs w:val="32"/>
        </w:rPr>
        <w:t>检察机关落实认罪认罚从宽制度</w:t>
      </w:r>
      <w:r>
        <w:rPr>
          <w:rFonts w:hint="eastAsia" w:ascii="仿宋" w:hAnsi="仿宋" w:eastAsia="仿宋" w:cs="仿宋_GB2312"/>
          <w:bCs/>
          <w:sz w:val="32"/>
          <w:szCs w:val="32"/>
          <w:shd w:val="clear" w:color="auto" w:fill="FFFFFF"/>
        </w:rPr>
        <w:t>等</w:t>
      </w:r>
      <w:r>
        <w:rPr>
          <w:rFonts w:hint="eastAsia" w:ascii="仿宋" w:hAnsi="仿宋" w:eastAsia="仿宋" w:cs="仿宋_GB2312"/>
          <w:sz w:val="32"/>
          <w:szCs w:val="32"/>
        </w:rPr>
        <w:t>工作开展情况</w:t>
      </w:r>
      <w:r>
        <w:rPr>
          <w:rFonts w:hint="eastAsia" w:ascii="仿宋" w:hAnsi="仿宋" w:eastAsia="仿宋" w:cs="仿宋_GB2312"/>
          <w:bCs/>
          <w:sz w:val="32"/>
          <w:szCs w:val="32"/>
          <w:shd w:val="clear" w:color="auto" w:fill="FFFFFF"/>
        </w:rPr>
        <w:t>进行视察调研</w:t>
      </w:r>
      <w:r>
        <w:rPr>
          <w:rFonts w:hint="eastAsia" w:ascii="仿宋" w:hAnsi="仿宋" w:eastAsia="仿宋" w:cs="仿宋_GB2312"/>
          <w:sz w:val="32"/>
          <w:szCs w:val="32"/>
        </w:rPr>
        <w:t>，</w:t>
      </w:r>
      <w:bookmarkEnd w:id="1"/>
      <w:r>
        <w:rPr>
          <w:rFonts w:hint="eastAsia" w:ascii="仿宋" w:hAnsi="仿宋" w:eastAsia="仿宋" w:cs="仿宋_GB2312"/>
          <w:bCs/>
          <w:sz w:val="32"/>
          <w:szCs w:val="32"/>
          <w:shd w:val="clear" w:color="auto" w:fill="FFFFFF"/>
        </w:rPr>
        <w:t>继续开展法官检察官履职评议，</w:t>
      </w:r>
      <w:r>
        <w:rPr>
          <w:rFonts w:hint="eastAsia" w:ascii="仿宋" w:hAnsi="仿宋" w:eastAsia="仿宋" w:cs="仿宋_GB2312"/>
          <w:sz w:val="32"/>
          <w:szCs w:val="32"/>
        </w:rPr>
        <w:t>促进公正司法</w:t>
      </w:r>
      <w:r>
        <w:rPr>
          <w:rFonts w:hint="eastAsia" w:ascii="仿宋" w:hAnsi="仿宋" w:eastAsia="仿宋" w:cs="仿宋_GB2312"/>
          <w:bCs/>
          <w:sz w:val="32"/>
          <w:szCs w:val="32"/>
          <w:shd w:val="clear" w:color="auto" w:fill="FFFFFF"/>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（五）机关一般事务性工作：人大专项网络维护费、业务费、招待费、培训费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绩效目标：</w:t>
      </w:r>
      <w:r>
        <w:rPr>
          <w:rFonts w:hint="eastAsia" w:ascii="仿宋" w:hAnsi="仿宋" w:eastAsia="仿宋" w:cs="黑体"/>
          <w:sz w:val="32"/>
          <w:szCs w:val="32"/>
        </w:rPr>
        <w:t>加强自身建设，不断提升人大工作质量和水平。</w:t>
      </w:r>
      <w:r>
        <w:rPr>
          <w:rFonts w:hint="eastAsia" w:ascii="仿宋" w:hAnsi="仿宋" w:eastAsia="仿宋" w:cs="仿宋_GB2312"/>
          <w:sz w:val="32"/>
          <w:szCs w:val="32"/>
        </w:rPr>
        <w:t>常委会始终坚持把自身建设放在重要位置，守正创新、干事创业，焕发人大工作蓬勃生机，着力打造有担当、有作为、有权威的地方国家权力机关。</w:t>
      </w:r>
    </w:p>
    <w:p>
      <w:pPr>
        <w:spacing w:line="600" w:lineRule="exact"/>
        <w:ind w:firstLine="636"/>
        <w:rPr>
          <w:rFonts w:ascii="仿宋" w:hAnsi="仿宋" w:eastAsia="仿宋" w:cs="仿宋_GB2312"/>
          <w:bCs/>
          <w:sz w:val="32"/>
          <w:szCs w:val="32"/>
          <w:shd w:val="clear" w:color="auto" w:fill="FFFFFF"/>
        </w:rPr>
      </w:pPr>
      <w:r>
        <w:rPr>
          <w:rFonts w:hint="eastAsia" w:ascii="仿宋" w:hAnsi="仿宋" w:eastAsia="仿宋"/>
          <w:sz w:val="32"/>
          <w:szCs w:val="32"/>
        </w:rPr>
        <w:t>绩效指标：</w:t>
      </w:r>
      <w:r>
        <w:rPr>
          <w:rFonts w:hint="eastAsia" w:ascii="仿宋" w:hAnsi="仿宋" w:eastAsia="仿宋" w:cs="楷体_GB2312"/>
          <w:b/>
          <w:sz w:val="32"/>
          <w:szCs w:val="32"/>
          <w:shd w:val="clear" w:color="auto" w:fill="FFFFFF"/>
        </w:rPr>
        <w:t>坚持纵深推进全面从严治党</w:t>
      </w:r>
      <w:r>
        <w:rPr>
          <w:rFonts w:hint="eastAsia" w:ascii="仿宋" w:hAnsi="仿宋" w:eastAsia="仿宋" w:cs="仿宋_GB2312"/>
          <w:bCs/>
          <w:sz w:val="32"/>
          <w:szCs w:val="32"/>
          <w:shd w:val="clear" w:color="auto" w:fill="FFFFFF"/>
        </w:rPr>
        <w:t>。认真贯彻落实新时代党的建设总要求，以政治建设为统领，深入推进党的思想建设、组织建设、作风建设、纪律建设。</w:t>
      </w:r>
      <w:r>
        <w:rPr>
          <w:rFonts w:hint="eastAsia" w:ascii="仿宋" w:hAnsi="仿宋" w:eastAsia="仿宋" w:cs="仿宋_GB2312"/>
          <w:sz w:val="32"/>
          <w:szCs w:val="32"/>
        </w:rPr>
        <w:t>巩固拓展党史学习教育和“四史”宣传教育成果，大力弘扬伟大建党精神，力践力行塞罕坝精神，将“三个植入”不断引向深入。全面贯彻落实十九届中央纪委六次全会和省纪委、市纪委全会精神，召开全面从严治党推进会，夯实主体责任、第一责任人的责任和“一岗双责”，坚持严的主基调不动摇，持续推动全面从严治党向纵深发展。坚定不移推进党风廉政建设和反腐败斗争，深化“四种形态”运用机制，强化党员干部日常管理和监督，</w:t>
      </w:r>
      <w:r>
        <w:rPr>
          <w:rFonts w:hint="eastAsia" w:ascii="仿宋" w:hAnsi="仿宋" w:eastAsia="仿宋" w:cs="仿宋_GB2312"/>
          <w:bCs/>
          <w:sz w:val="32"/>
          <w:szCs w:val="32"/>
          <w:shd w:val="clear" w:color="auto" w:fill="FFFFFF"/>
        </w:rPr>
        <w:t>支持和保障派驻人大机关纪检监察组履行监督职责、</w:t>
      </w:r>
      <w:r>
        <w:rPr>
          <w:rFonts w:hint="eastAsia" w:ascii="仿宋" w:hAnsi="仿宋" w:eastAsia="仿宋"/>
          <w:sz w:val="32"/>
          <w:szCs w:val="32"/>
        </w:rPr>
        <w:t>发挥执纪监督作用。</w:t>
      </w:r>
      <w:r>
        <w:rPr>
          <w:rFonts w:hint="eastAsia" w:ascii="仿宋" w:hAnsi="仿宋" w:eastAsia="仿宋" w:cs="仿宋_GB2312"/>
          <w:bCs/>
          <w:sz w:val="32"/>
          <w:szCs w:val="32"/>
          <w:shd w:val="clear" w:color="auto" w:fill="FFFFFF"/>
        </w:rPr>
        <w:t>严格执行中央八项规定及其实施细则精神，扎实开展深化纠正“四风”和作风纪律专项整治活动，坚决纠正“四风”，力戒形式主义、官僚主义。</w:t>
      </w:r>
      <w:r>
        <w:rPr>
          <w:rFonts w:hint="eastAsia" w:ascii="仿宋" w:hAnsi="仿宋" w:eastAsia="仿宋" w:cs="仿宋_GB2312"/>
          <w:sz w:val="32"/>
          <w:szCs w:val="32"/>
        </w:rPr>
        <w:t>全面落实意识形态工作“三清单四机制”，着力加强意识形态安全教育和网络意识形态建设，坚决</w:t>
      </w:r>
      <w:r>
        <w:rPr>
          <w:rFonts w:hint="eastAsia" w:ascii="仿宋" w:hAnsi="仿宋" w:eastAsia="仿宋" w:cs="仿宋_GB2312"/>
          <w:bCs/>
          <w:kern w:val="0"/>
          <w:sz w:val="32"/>
          <w:szCs w:val="32"/>
        </w:rPr>
        <w:t>守好意识形态人大阵地</w:t>
      </w:r>
      <w:r>
        <w:rPr>
          <w:rFonts w:hint="eastAsia" w:ascii="仿宋" w:hAnsi="仿宋" w:eastAsia="仿宋" w:cs="仿宋_GB2312"/>
          <w:sz w:val="32"/>
          <w:szCs w:val="32"/>
        </w:rPr>
        <w:t>。</w:t>
      </w:r>
      <w:r>
        <w:rPr>
          <w:rFonts w:hint="eastAsia" w:ascii="仿宋" w:hAnsi="仿宋" w:eastAsia="仿宋" w:cs="楷体_GB2312"/>
          <w:b/>
          <w:sz w:val="32"/>
          <w:szCs w:val="32"/>
          <w:shd w:val="clear" w:color="auto" w:fill="FFFFFF"/>
        </w:rPr>
        <w:t>统筹推进“四个机关”建设</w:t>
      </w:r>
      <w:r>
        <w:rPr>
          <w:rFonts w:hint="eastAsia" w:ascii="仿宋" w:hAnsi="仿宋" w:eastAsia="仿宋" w:cs="仿宋_GB2312"/>
          <w:bCs/>
          <w:sz w:val="32"/>
          <w:szCs w:val="32"/>
          <w:shd w:val="clear" w:color="auto" w:fill="FFFFFF"/>
        </w:rPr>
        <w:t>。认真贯彻落实《承德市人大常委会关于加强“四个机关”建设的实施意见》，把握新定位，锚定新目标，以政治引领把牢正确方向，以民主理念凝聚智慧力量，以法治建设护航承德发展，以过硬本领彰显人大担当。把坚持党的全面领导作为最高政治原则，坚决拥护“两个确立”，坚定做到“两个维护”，着力打造自觉坚持中国共产党领导的政治机关；把人民放在心中最高位置，支持和保证人民通过人民代表大会行使国家权力，不断发展全过程人民民主，着力打造保证人民当家作主的国家权力机关；把厉行法治作为重要遵循，善于运用法治思维和法治方式，创造性做好立法、监督、决定、任免等工作，着力打造全面担负宪法法律赋予的各项职责的工作机关；把密切联系群众作为重要法宝，忠实代表人民利益和意志，善于把各方面社情民意统一于最广大人民根本利益之中，着力打造始终同人民群众保持密切联系的代表机关。要在建设“四个机关”的生动实践中，着力打造一支政治坚定、服务人民、尊崇法治、发扬民主、勤勉尽责的人大工作队伍，努力创造无愧于党和人民、无愧于历史和时代的新业绩。</w:t>
      </w:r>
      <w:r>
        <w:rPr>
          <w:rFonts w:hint="eastAsia" w:ascii="仿宋" w:hAnsi="仿宋" w:eastAsia="仿宋" w:cs="楷体_GB2312"/>
          <w:b/>
          <w:sz w:val="32"/>
          <w:szCs w:val="32"/>
          <w:shd w:val="clear" w:color="auto" w:fill="FFFFFF"/>
        </w:rPr>
        <w:t>全力创建省级文明单位</w:t>
      </w:r>
      <w:r>
        <w:rPr>
          <w:rFonts w:hint="eastAsia" w:ascii="仿宋" w:hAnsi="仿宋" w:eastAsia="仿宋" w:cs="仿宋_GB2312"/>
          <w:bCs/>
          <w:sz w:val="32"/>
          <w:szCs w:val="32"/>
          <w:shd w:val="clear" w:color="auto" w:fill="FFFFFF"/>
        </w:rPr>
        <w:t>。认真贯彻落实《承德市人大常委会创建省级文明单位总体实施方案》，以“讲政治、崇法律、守规矩、强能力”为主题，扎实做好争创省级文明单位各项工作。研究制定2022年创建工作计划和方案，全面落实省市创建精神文明单位的各项指导性要求。</w:t>
      </w:r>
      <w:r>
        <w:rPr>
          <w:rFonts w:hint="eastAsia" w:ascii="仿宋" w:hAnsi="仿宋" w:eastAsia="仿宋" w:cs="仿宋_GB2312"/>
          <w:kern w:val="0"/>
          <w:sz w:val="32"/>
          <w:szCs w:val="32"/>
        </w:rPr>
        <w:t>在市文明办的指导下，</w:t>
      </w:r>
      <w:r>
        <w:rPr>
          <w:rFonts w:hint="eastAsia" w:ascii="仿宋" w:hAnsi="仿宋" w:eastAsia="仿宋" w:cs="仿宋_GB2312"/>
          <w:bCs/>
          <w:sz w:val="32"/>
          <w:szCs w:val="32"/>
          <w:shd w:val="clear" w:color="auto" w:fill="FFFFFF"/>
        </w:rPr>
        <w:t>抓好领导班子建设、干部队伍建设、制度建设，全面完成精神文明创建各项任务。及时总结成绩，查找不足，针对存在问题认真整改并进行复查，直至达到验收标准。</w:t>
      </w:r>
      <w:r>
        <w:rPr>
          <w:rFonts w:hint="eastAsia" w:ascii="仿宋" w:hAnsi="仿宋" w:eastAsia="仿宋" w:cs="楷体_GB2312"/>
          <w:b/>
          <w:sz w:val="32"/>
          <w:szCs w:val="32"/>
          <w:shd w:val="clear" w:color="auto" w:fill="FFFFFF"/>
        </w:rPr>
        <w:t>注重发挥人大系统整体功效</w:t>
      </w:r>
      <w:r>
        <w:rPr>
          <w:rFonts w:hint="eastAsia" w:ascii="仿宋" w:hAnsi="仿宋" w:eastAsia="仿宋" w:cs="仿宋_GB2312"/>
          <w:bCs/>
          <w:sz w:val="32"/>
          <w:szCs w:val="32"/>
          <w:shd w:val="clear" w:color="auto" w:fill="FFFFFF"/>
        </w:rPr>
        <w:t>。</w:t>
      </w:r>
      <w:r>
        <w:rPr>
          <w:rFonts w:hint="eastAsia" w:ascii="仿宋" w:hAnsi="仿宋" w:eastAsia="仿宋" w:cs="仿宋_GB2312"/>
          <w:sz w:val="32"/>
          <w:szCs w:val="32"/>
        </w:rPr>
        <w:t>牢固树立“一盘棋”思想，</w:t>
      </w:r>
      <w:r>
        <w:rPr>
          <w:rFonts w:hint="eastAsia" w:ascii="仿宋" w:hAnsi="仿宋" w:eastAsia="仿宋" w:cs="仿宋_GB2312"/>
          <w:bCs/>
          <w:sz w:val="32"/>
          <w:szCs w:val="32"/>
          <w:shd w:val="clear" w:color="auto" w:fill="FFFFFF"/>
        </w:rPr>
        <w:t>全面落实“1122”沟通联系机制，构建聚焦重点、协调联动、同向发力的工作格局。充分发挥人大专门委员会职能作用，支持各委员会各负其责、协调一致开展工作。</w:t>
      </w:r>
      <w:r>
        <w:rPr>
          <w:rFonts w:hint="eastAsia" w:ascii="仿宋" w:hAnsi="仿宋" w:eastAsia="仿宋" w:cs="仿宋_GB2312"/>
          <w:sz w:val="32"/>
          <w:szCs w:val="32"/>
        </w:rPr>
        <w:t>加强对县乡人大工作的联系指导，</w:t>
      </w:r>
      <w:r>
        <w:rPr>
          <w:rFonts w:hint="eastAsia" w:ascii="仿宋" w:hAnsi="仿宋" w:eastAsia="仿宋" w:cs="仿宋_GB2312"/>
          <w:bCs/>
          <w:sz w:val="32"/>
          <w:szCs w:val="32"/>
          <w:shd w:val="clear" w:color="auto" w:fill="FFFFFF"/>
        </w:rPr>
        <w:t>提升县乡人大工作和建设水平。加快推进“智慧人大”建设，统筹做好人大宣传、理论研究、机关文化等工作，不断提升依法履职效能，打造更多的亮点品牌。加强与外地人大的横向联系，对标先进，取长补短，推动全市人大工作实现新跃升。</w:t>
      </w:r>
    </w:p>
    <w:p>
      <w:pPr>
        <w:spacing w:line="560" w:lineRule="exact"/>
        <w:ind w:firstLine="629"/>
        <w:rPr>
          <w:rFonts w:ascii="仿宋_GB2312" w:hAnsi="仿宋_GB2312" w:eastAsia="仿宋_GB2312" w:cs="仿宋_GB2312"/>
          <w:sz w:val="32"/>
          <w:szCs w:val="32"/>
        </w:rPr>
      </w:pPr>
      <w:r>
        <w:rPr>
          <w:rFonts w:hint="eastAsia" w:ascii="黑体" w:hAnsi="黑体" w:eastAsia="黑体" w:cs="黑体"/>
          <w:sz w:val="32"/>
          <w:szCs w:val="32"/>
        </w:rPr>
        <w:t>三、工作保障措施</w:t>
      </w:r>
    </w:p>
    <w:p>
      <w:pPr>
        <w:spacing w:line="600" w:lineRule="exact"/>
        <w:ind w:firstLine="640" w:firstLineChars="200"/>
        <w:rPr>
          <w:rFonts w:ascii="仿宋" w:hAnsi="仿宋" w:eastAsia="仿宋" w:cs="仿宋_GB2312"/>
          <w:bCs/>
          <w:sz w:val="32"/>
          <w:szCs w:val="32"/>
          <w:shd w:val="clear" w:color="auto" w:fill="FFFFFF"/>
        </w:rPr>
      </w:pPr>
      <w:r>
        <w:rPr>
          <w:rFonts w:hint="eastAsia" w:ascii="仿宋" w:hAnsi="仿宋" w:eastAsia="仿宋" w:cs="楷体_GB2312"/>
          <w:sz w:val="32"/>
          <w:szCs w:val="32"/>
          <w:shd w:val="clear" w:color="auto" w:fill="FFFFFF"/>
        </w:rPr>
        <w:t>1.</w:t>
      </w:r>
      <w:r>
        <w:rPr>
          <w:rFonts w:hint="eastAsia" w:ascii="仿宋" w:hAnsi="仿宋" w:eastAsia="仿宋" w:cs="楷体_GB2312"/>
          <w:kern w:val="0"/>
          <w:sz w:val="32"/>
          <w:szCs w:val="32"/>
          <w:lang w:val="zh-CN"/>
        </w:rPr>
        <w:t>把牢正确政治方向</w:t>
      </w:r>
      <w:r>
        <w:rPr>
          <w:rFonts w:hint="eastAsia" w:ascii="仿宋" w:hAnsi="仿宋" w:eastAsia="仿宋" w:cs="仿宋_GB2312"/>
          <w:bCs/>
          <w:sz w:val="32"/>
          <w:szCs w:val="32"/>
          <w:shd w:val="clear" w:color="auto" w:fill="FFFFFF"/>
        </w:rPr>
        <w:t>。</w:t>
      </w:r>
      <w:r>
        <w:rPr>
          <w:rFonts w:hint="eastAsia" w:ascii="仿宋" w:hAnsi="仿宋" w:eastAsia="仿宋" w:cs="黑体"/>
          <w:bCs/>
          <w:kern w:val="0"/>
          <w:sz w:val="32"/>
          <w:szCs w:val="32"/>
          <w:lang w:val="zh-CN"/>
        </w:rPr>
        <w:t>强化政治引领，坚持党对人大工作的全面领导</w:t>
      </w:r>
      <w:r>
        <w:rPr>
          <w:rFonts w:hint="eastAsia" w:ascii="仿宋" w:hAnsi="仿宋" w:eastAsia="仿宋" w:cs="仿宋_GB2312"/>
          <w:bCs/>
          <w:sz w:val="32"/>
          <w:szCs w:val="32"/>
          <w:shd w:val="clear" w:color="auto" w:fill="FFFFFF"/>
        </w:rPr>
        <w:t>自觉做习近平新时代中国特色社会主义思想的坚定信仰者和忠实实践者，深刻认识“两个确立”的决定性意义，坚定不移用</w:t>
      </w:r>
      <w:r>
        <w:rPr>
          <w:rFonts w:hint="eastAsia" w:ascii="仿宋" w:hAnsi="仿宋" w:eastAsia="仿宋" w:cs="仿宋_GB2312"/>
          <w:sz w:val="32"/>
          <w:szCs w:val="32"/>
        </w:rPr>
        <w:t>“两个确立”</w:t>
      </w:r>
      <w:r>
        <w:rPr>
          <w:rFonts w:hint="eastAsia" w:ascii="仿宋" w:hAnsi="仿宋" w:eastAsia="仿宋" w:cs="仿宋_GB2312"/>
          <w:bCs/>
          <w:sz w:val="32"/>
          <w:szCs w:val="32"/>
          <w:shd w:val="clear" w:color="auto" w:fill="FFFFFF"/>
        </w:rPr>
        <w:t>统一思想、统一意志、统一行动，</w:t>
      </w:r>
      <w:r>
        <w:rPr>
          <w:rFonts w:hint="eastAsia" w:ascii="仿宋" w:hAnsi="仿宋" w:eastAsia="仿宋" w:cs="仿宋_GB2312"/>
          <w:sz w:val="32"/>
          <w:szCs w:val="32"/>
        </w:rPr>
        <w:t>树牢“四个意识”、坚定“四个自信”、做到“两个维护”，</w:t>
      </w:r>
      <w:r>
        <w:rPr>
          <w:rFonts w:hint="eastAsia" w:ascii="仿宋" w:hAnsi="仿宋" w:eastAsia="仿宋" w:cs="仿宋_GB2312"/>
          <w:bCs/>
          <w:sz w:val="32"/>
          <w:szCs w:val="32"/>
          <w:shd w:val="clear" w:color="auto" w:fill="FFFFFF"/>
        </w:rPr>
        <w:t>毫不动摇忠诚核心、维护核心、紧跟核心、捍卫核心，坚决同以习近平同志为核心的党中央保持高度一致，坚定不移沿着中国特色社会主义道路砥砺前行。</w:t>
      </w:r>
    </w:p>
    <w:p>
      <w:pPr>
        <w:spacing w:line="600" w:lineRule="exact"/>
        <w:ind w:firstLine="640" w:firstLineChars="200"/>
        <w:rPr>
          <w:rFonts w:ascii="仿宋" w:hAnsi="仿宋" w:eastAsia="仿宋" w:cs="仿宋_GB2312"/>
          <w:sz w:val="32"/>
          <w:szCs w:val="32"/>
        </w:rPr>
      </w:pPr>
      <w:r>
        <w:rPr>
          <w:rFonts w:hint="eastAsia" w:ascii="仿宋" w:hAnsi="仿宋" w:eastAsia="仿宋" w:cs="楷体_GB2312"/>
          <w:sz w:val="32"/>
          <w:szCs w:val="32"/>
          <w:shd w:val="clear" w:color="auto" w:fill="FFFFFF"/>
        </w:rPr>
        <w:t>2.持续强化理论武装</w:t>
      </w:r>
      <w:r>
        <w:rPr>
          <w:rFonts w:hint="eastAsia" w:ascii="仿宋" w:hAnsi="仿宋" w:eastAsia="仿宋" w:cs="仿宋_GB2312"/>
          <w:bCs/>
          <w:sz w:val="32"/>
          <w:szCs w:val="32"/>
          <w:shd w:val="clear" w:color="auto" w:fill="FFFFFF"/>
        </w:rPr>
        <w:t>。持之以恒学懂弄通做实</w:t>
      </w:r>
      <w:r>
        <w:rPr>
          <w:rFonts w:hint="eastAsia" w:ascii="仿宋" w:hAnsi="仿宋" w:eastAsia="仿宋" w:cs="仿宋_GB2312"/>
          <w:sz w:val="32"/>
          <w:szCs w:val="32"/>
        </w:rPr>
        <w:t>习近平新时代中国特色社会主义思想，与学习贯彻习近平法治思想、习近平总书记关于坚持和完善人民代表大会制度的重要思想、习近平总书记在中央人大工作会议上的重要讲话和视察承德重要讲话指示精神贯通起来，集中组织学习、宣传贯彻党的二十大精神，自觉主动学，及时跟进学，联系实际学，笃信笃行学，切实把党的创新理论转化为推动人大工作高质量发展的强大力量，以理论清醒保持政治坚定。</w:t>
      </w:r>
    </w:p>
    <w:p>
      <w:pPr>
        <w:spacing w:line="600" w:lineRule="exact"/>
        <w:ind w:firstLine="640" w:firstLineChars="200"/>
        <w:rPr>
          <w:rFonts w:ascii="仿宋" w:hAnsi="仿宋" w:eastAsia="仿宋" w:cs="仿宋_GB2312"/>
          <w:sz w:val="32"/>
          <w:szCs w:val="32"/>
        </w:rPr>
      </w:pPr>
      <w:r>
        <w:rPr>
          <w:rFonts w:hint="eastAsia" w:ascii="仿宋" w:hAnsi="仿宋" w:eastAsia="仿宋" w:cs="楷体_GB2312"/>
          <w:bCs/>
          <w:sz w:val="32"/>
          <w:szCs w:val="32"/>
        </w:rPr>
        <w:t>3.围绕中心依法履职</w:t>
      </w:r>
      <w:r>
        <w:rPr>
          <w:rFonts w:hint="eastAsia" w:ascii="仿宋" w:hAnsi="仿宋" w:eastAsia="仿宋" w:cs="仿宋_GB2312"/>
          <w:bCs/>
          <w:sz w:val="32"/>
          <w:szCs w:val="32"/>
        </w:rPr>
        <w:t>。</w:t>
      </w:r>
      <w:r>
        <w:rPr>
          <w:rFonts w:hint="eastAsia" w:ascii="仿宋" w:hAnsi="仿宋" w:eastAsia="仿宋" w:cs="仿宋_GB2312"/>
          <w:sz w:val="32"/>
          <w:szCs w:val="32"/>
        </w:rPr>
        <w:t>紧紧围绕党中央决策部署和省委、市委工作要求，聚焦推进</w:t>
      </w:r>
      <w:r>
        <w:rPr>
          <w:rFonts w:hint="eastAsia" w:ascii="仿宋" w:hAnsi="仿宋" w:eastAsia="仿宋" w:cs="仿宋_GB2312"/>
          <w:sz w:val="32"/>
        </w:rPr>
        <w:t>“四个再建功立业”、实现“二次创业”和开展“三统筹三扩大四创建”活动目标任务</w:t>
      </w:r>
      <w:r>
        <w:rPr>
          <w:rFonts w:hint="eastAsia" w:ascii="仿宋" w:hAnsi="仿宋" w:eastAsia="仿宋" w:cs="仿宋_GB2312"/>
          <w:sz w:val="32"/>
          <w:szCs w:val="32"/>
        </w:rPr>
        <w:t>，践行“承德发展、人大尽责”理念，定大事、议要事、督难事、办实事，使党的主张通过法定程序成为国家意志和人民意志，更好把制度优势转化为治理效能。凡是重大问题、重要事项、重点工作都要向市委请示报告，切实把市委要求转化为人大行动。协助做好市委人大工作会议筹备工作，全力抓好会议精神的学习宣传贯彻落实，推动中央和省委人大工作会议精神在承德见行见效、落地落实。</w:t>
      </w:r>
    </w:p>
    <w:p>
      <w:pPr>
        <w:spacing w:line="600" w:lineRule="exact"/>
        <w:ind w:firstLine="640" w:firstLineChars="200"/>
        <w:rPr>
          <w:rFonts w:ascii="仿宋" w:hAnsi="仿宋" w:eastAsia="仿宋" w:cs="仿宋_GB2312"/>
          <w:bCs/>
          <w:sz w:val="32"/>
          <w:szCs w:val="32"/>
          <w:shd w:val="clear" w:color="auto" w:fill="FFFFFF"/>
        </w:rPr>
      </w:pPr>
      <w:r>
        <w:rPr>
          <w:rFonts w:hint="eastAsia" w:ascii="仿宋" w:hAnsi="仿宋" w:eastAsia="仿宋" w:cs="楷体_GB2312"/>
          <w:bCs/>
          <w:sz w:val="32"/>
          <w:szCs w:val="32"/>
        </w:rPr>
        <w:t>4.发展全过程人民民主</w:t>
      </w:r>
      <w:r>
        <w:rPr>
          <w:rFonts w:hint="eastAsia" w:ascii="仿宋" w:hAnsi="仿宋" w:eastAsia="仿宋" w:cs="仿宋_GB2312"/>
          <w:sz w:val="32"/>
          <w:szCs w:val="32"/>
        </w:rPr>
        <w:t>。</w:t>
      </w:r>
      <w:r>
        <w:rPr>
          <w:rFonts w:hint="eastAsia" w:ascii="仿宋" w:hAnsi="仿宋" w:eastAsia="仿宋" w:cs="仿宋_GB2312"/>
          <w:bCs/>
          <w:sz w:val="32"/>
          <w:szCs w:val="32"/>
          <w:shd w:val="clear" w:color="auto" w:fill="FFFFFF"/>
        </w:rPr>
        <w:t>深刻认识和把握发展全过程人民民主的本质要求，运用好法治方法、制度优势、代表力量，扩大人民有序参与，保障人民当家作主。对标新修订的全国人大组织法和议事规则，及时修订完善市人大组织制度、会议制度和运行程序，自觉把人民意志体现到立法工作全链条、监督工作全过程、代表工作各环节。健全完善人大民主民意表达平台和载体，做好人大协商、立法协商，通过调研、座谈、论证、咨询、立法联系点、代表家站室等方式和渠道，确保党委和政府在决策、执行、监督落实等环节都能听到来自人民的声音，都有人民的参与。</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5、加强预算支出管理，确保支出进度达标</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编细编实预算，将项目细化到可执行程度，确保批复即可执行。调整优化支出结构，按规定对“三公”经费和一般性支出进行压减。通过加快履行政府采购手续、尽快启动项目、及时支付资金等措施，督导各单位按年初计划组织开展各项工作活动，及时有序支付资金。加强预算资金支出动态过程管理，及时协调解决预算项目中遇到的困难问题，实时掌握预算支出进度，按照省财政厅关于支出进度的关键时间节点，对预算资金项目进度进行通报，督促相关单位加快项目执行。</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6、加强内部监督管理，确保资金安全有效</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完善财务管理制度，严格财务资金审批程序，加强固定资产登记、使用和报废处置管理，最大程度发挥国有资产效能。完善内部监督制度，加强对绩效运行情况、重大支出决策、资产处置及其他重要事项决策和执行的督导，对会计资料开展常态化内部审计，配合做好审计、财政监督等外部监督工作。严格落实领导干部重大事项报告制度和离任审计制度，加强对全厅物资采购、工程项目等大额资金使用招投标的全过程监督，确保财政资金安全有效。</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7、加强宣传培训调研，确保绩效目标实现</w:t>
      </w:r>
    </w:p>
    <w:p>
      <w:pPr>
        <w:spacing w:line="560" w:lineRule="exact"/>
        <w:ind w:firstLine="720" w:firstLineChars="225"/>
        <w:rPr>
          <w:rFonts w:ascii="仿宋" w:hAnsi="仿宋" w:eastAsia="仿宋" w:cs="方正仿宋_GBK"/>
          <w:sz w:val="32"/>
          <w:szCs w:val="32"/>
        </w:rPr>
      </w:pPr>
      <w:r>
        <w:rPr>
          <w:rFonts w:hint="eastAsia" w:ascii="仿宋" w:hAnsi="仿宋" w:eastAsia="仿宋" w:cs="方正仿宋_GBK"/>
          <w:sz w:val="32"/>
          <w:szCs w:val="32"/>
        </w:rPr>
        <w:t>加强预算绩效管理专业知识培训，提高预算绩效管理工作人员的业务素质，不断优化财务人员知识结构，促进财务人员严格履行职责，提高财务管理的科学化和规范化水平。加强预算绩效调研工作，将绩效管理方法融入预算编制、执行和监督过程中，强化绩效评价结果应用，提出优化财政资金配置、提高资金使用效益的意见。加大预算绩效宣传力度，强化预算绩效管理意识，为预算绩效管理创造良好的思想基础和舆论环境，促进预算绩效管理水平进一步提升。</w:t>
      </w:r>
    </w:p>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hint="eastAsia"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第二部分</w:t>
      </w: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专项资金绩效目标</w:t>
      </w: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44"/>
          <w:szCs w:val="44"/>
        </w:rPr>
      </w:pPr>
      <w:r>
        <w:rPr>
          <w:rFonts w:hint="eastAsia" w:ascii="仿宋_GB2312" w:eastAsia="仿宋_GB2312"/>
          <w:sz w:val="44"/>
          <w:szCs w:val="44"/>
        </w:rPr>
        <w:t>我单位不涉及专项项目</w:t>
      </w:r>
      <w:bookmarkStart w:id="2" w:name="_GoBack"/>
      <w:bookmarkEnd w:id="2"/>
    </w:p>
    <w:p>
      <w:pPr>
        <w:spacing w:line="580" w:lineRule="exact"/>
        <w:rPr>
          <w:rFonts w:ascii="方正小标宋_GBK" w:eastAsia="方正小标宋_GBK"/>
          <w:sz w:val="44"/>
          <w:szCs w:val="44"/>
        </w:rPr>
      </w:pPr>
      <w:r>
        <w:rPr>
          <w:rFonts w:ascii="方正小标宋_GBK" w:eastAsia="方正小标宋_GBK"/>
          <w:sz w:val="44"/>
          <w:szCs w:val="44"/>
        </w:rPr>
        <w:br w:type="page"/>
      </w:r>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第三部分</w:t>
      </w:r>
    </w:p>
    <w:p>
      <w:pPr>
        <w:spacing w:line="580" w:lineRule="exact"/>
        <w:jc w:val="center"/>
        <w:rPr>
          <w:rFonts w:ascii="方正小标宋_GBK" w:eastAsia="方正小标宋_GBK"/>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预算项目绩效目标</w:t>
      </w:r>
    </w:p>
    <w:p>
      <w:pPr>
        <w:pStyle w:val="28"/>
        <w:ind w:firstLine="560"/>
        <w:rPr>
          <w:rFonts w:ascii="方正小标宋_GBK" w:eastAsia="方正小标宋_GBK"/>
          <w:sz w:val="44"/>
          <w:szCs w:val="44"/>
        </w:rPr>
        <w:sectPr>
          <w:footerReference r:id="rId3" w:type="default"/>
          <w:type w:val="continuous"/>
          <w:pgSz w:w="11900" w:h="16840"/>
          <w:pgMar w:top="1020" w:right="1361" w:bottom="1020" w:left="1361" w:header="720" w:footer="720" w:gutter="0"/>
          <w:cols w:space="720" w:num="1"/>
          <w:docGrid w:linePitch="286" w:charSpace="0"/>
        </w:sectPr>
      </w:pPr>
      <w:r>
        <w:rPr>
          <w:rFonts w:ascii="方正小标宋_GBK" w:eastAsia="方正小标宋_GBK"/>
          <w:sz w:val="44"/>
          <w:szCs w:val="44"/>
        </w:rPr>
        <w:br w:type="page"/>
      </w:r>
    </w:p>
    <w:p>
      <w:pPr>
        <w:pStyle w:val="28"/>
        <w:ind w:firstLine="560"/>
      </w:pPr>
      <w:r>
        <w:rPr>
          <w:rFonts w:ascii="方正仿宋_GBK" w:hAnsi="方正仿宋_GBK" w:eastAsia="方正仿宋_GBK" w:cs="方正仿宋_GBK"/>
          <w:b/>
          <w:color w:val="000000"/>
          <w:sz w:val="28"/>
        </w:rPr>
        <w:t>1、2022年度会议费项目绩效目标表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组织会议次数</w:t>
            </w:r>
          </w:p>
        </w:tc>
        <w:tc>
          <w:tcPr>
            <w:tcW w:w="2835" w:type="dxa"/>
            <w:vAlign w:val="center"/>
          </w:tcPr>
          <w:p>
            <w:pPr>
              <w:pStyle w:val="30"/>
            </w:pPr>
            <w:r>
              <w:t>组织会议次数</w:t>
            </w:r>
          </w:p>
        </w:tc>
        <w:tc>
          <w:tcPr>
            <w:tcW w:w="2551" w:type="dxa"/>
            <w:vAlign w:val="center"/>
          </w:tcPr>
          <w:p>
            <w:pPr>
              <w:pStyle w:val="30"/>
            </w:pPr>
            <w:r>
              <w:t>≥6次</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参与会议人数</w:t>
            </w:r>
          </w:p>
        </w:tc>
        <w:tc>
          <w:tcPr>
            <w:tcW w:w="2835" w:type="dxa"/>
            <w:vAlign w:val="center"/>
          </w:tcPr>
          <w:p>
            <w:pPr>
              <w:pStyle w:val="30"/>
            </w:pPr>
            <w:r>
              <w:t>参与会议人数</w:t>
            </w:r>
          </w:p>
        </w:tc>
        <w:tc>
          <w:tcPr>
            <w:tcW w:w="2551" w:type="dxa"/>
            <w:vAlign w:val="center"/>
          </w:tcPr>
          <w:p>
            <w:pPr>
              <w:pStyle w:val="30"/>
            </w:pPr>
            <w:r>
              <w:t>≥500人</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会议持续天数</w:t>
            </w:r>
          </w:p>
        </w:tc>
        <w:tc>
          <w:tcPr>
            <w:tcW w:w="2835" w:type="dxa"/>
            <w:vAlign w:val="center"/>
          </w:tcPr>
          <w:p>
            <w:pPr>
              <w:pStyle w:val="30"/>
            </w:pPr>
            <w:r>
              <w:t>会议持续天数</w:t>
            </w:r>
          </w:p>
        </w:tc>
        <w:tc>
          <w:tcPr>
            <w:tcW w:w="2551" w:type="dxa"/>
            <w:vAlign w:val="center"/>
          </w:tcPr>
          <w:p>
            <w:pPr>
              <w:pStyle w:val="30"/>
            </w:pPr>
            <w:r>
              <w:t>≥5天</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参会人员出勤率</w:t>
            </w:r>
          </w:p>
        </w:tc>
        <w:tc>
          <w:tcPr>
            <w:tcW w:w="2835" w:type="dxa"/>
            <w:vAlign w:val="center"/>
          </w:tcPr>
          <w:p>
            <w:pPr>
              <w:pStyle w:val="30"/>
            </w:pPr>
            <w:r>
              <w:t>参会人员出勤率</w:t>
            </w:r>
          </w:p>
        </w:tc>
        <w:tc>
          <w:tcPr>
            <w:tcW w:w="2551" w:type="dxa"/>
            <w:vAlign w:val="center"/>
          </w:tcPr>
          <w:p>
            <w:pPr>
              <w:pStyle w:val="30"/>
            </w:pPr>
            <w:r>
              <w:t>≥95%</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会议开展及时性</w:t>
            </w:r>
          </w:p>
        </w:tc>
        <w:tc>
          <w:tcPr>
            <w:tcW w:w="2835" w:type="dxa"/>
            <w:vAlign w:val="center"/>
          </w:tcPr>
          <w:p>
            <w:pPr>
              <w:pStyle w:val="30"/>
            </w:pPr>
            <w:r>
              <w:t>会议开展及时性</w:t>
            </w:r>
          </w:p>
        </w:tc>
        <w:tc>
          <w:tcPr>
            <w:tcW w:w="2551" w:type="dxa"/>
            <w:vAlign w:val="center"/>
          </w:tcPr>
          <w:p>
            <w:pPr>
              <w:pStyle w:val="30"/>
            </w:pPr>
            <w:r>
              <w:t>及时</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人均会议成本</w:t>
            </w:r>
          </w:p>
        </w:tc>
        <w:tc>
          <w:tcPr>
            <w:tcW w:w="2835" w:type="dxa"/>
            <w:vAlign w:val="center"/>
          </w:tcPr>
          <w:p>
            <w:pPr>
              <w:pStyle w:val="30"/>
            </w:pPr>
            <w:r>
              <w:t>人均会议成本</w:t>
            </w:r>
          </w:p>
        </w:tc>
        <w:tc>
          <w:tcPr>
            <w:tcW w:w="2551" w:type="dxa"/>
            <w:vAlign w:val="center"/>
          </w:tcPr>
          <w:p>
            <w:pPr>
              <w:pStyle w:val="30"/>
            </w:pPr>
            <w:r>
              <w:t>≤450元</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听取财政局报告</w:t>
            </w:r>
          </w:p>
        </w:tc>
        <w:tc>
          <w:tcPr>
            <w:tcW w:w="2835" w:type="dxa"/>
            <w:vAlign w:val="center"/>
          </w:tcPr>
          <w:p>
            <w:pPr>
              <w:pStyle w:val="30"/>
            </w:pPr>
            <w:r>
              <w:t>听取财政局报告</w:t>
            </w:r>
          </w:p>
        </w:tc>
        <w:tc>
          <w:tcPr>
            <w:tcW w:w="2551" w:type="dxa"/>
            <w:vAlign w:val="center"/>
          </w:tcPr>
          <w:p>
            <w:pPr>
              <w:pStyle w:val="30"/>
            </w:pPr>
            <w:r>
              <w:t>≥1个</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听取市政府工作报告</w:t>
            </w:r>
          </w:p>
        </w:tc>
        <w:tc>
          <w:tcPr>
            <w:tcW w:w="2835" w:type="dxa"/>
            <w:vAlign w:val="center"/>
          </w:tcPr>
          <w:p>
            <w:pPr>
              <w:pStyle w:val="30"/>
            </w:pPr>
            <w:r>
              <w:t>听取市政府工作报告</w:t>
            </w:r>
          </w:p>
        </w:tc>
        <w:tc>
          <w:tcPr>
            <w:tcW w:w="2551" w:type="dxa"/>
            <w:vAlign w:val="center"/>
          </w:tcPr>
          <w:p>
            <w:pPr>
              <w:pStyle w:val="30"/>
            </w:pPr>
            <w:r>
              <w:t>≥1个</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提升社会影响力</w:t>
            </w:r>
          </w:p>
        </w:tc>
        <w:tc>
          <w:tcPr>
            <w:tcW w:w="2835" w:type="dxa"/>
            <w:vAlign w:val="center"/>
          </w:tcPr>
          <w:p>
            <w:pPr>
              <w:pStyle w:val="30"/>
            </w:pPr>
            <w:r>
              <w:t>提升社会影响力</w:t>
            </w:r>
          </w:p>
        </w:tc>
        <w:tc>
          <w:tcPr>
            <w:tcW w:w="2551" w:type="dxa"/>
            <w:vAlign w:val="center"/>
          </w:tcPr>
          <w:p>
            <w:pPr>
              <w:pStyle w:val="30"/>
            </w:pPr>
            <w:r>
              <w:t>有效提升</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选举结果公开</w:t>
            </w:r>
          </w:p>
        </w:tc>
        <w:tc>
          <w:tcPr>
            <w:tcW w:w="2835" w:type="dxa"/>
            <w:vAlign w:val="center"/>
          </w:tcPr>
          <w:p>
            <w:pPr>
              <w:pStyle w:val="30"/>
            </w:pPr>
            <w:r>
              <w:t>选举结果公开</w:t>
            </w:r>
          </w:p>
        </w:tc>
        <w:tc>
          <w:tcPr>
            <w:tcW w:w="2551" w:type="dxa"/>
            <w:vAlign w:val="center"/>
          </w:tcPr>
          <w:p>
            <w:pPr>
              <w:pStyle w:val="30"/>
            </w:pPr>
            <w:r>
              <w:t>公开告知</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收集代表建议</w:t>
            </w:r>
          </w:p>
        </w:tc>
        <w:tc>
          <w:tcPr>
            <w:tcW w:w="2835" w:type="dxa"/>
            <w:vAlign w:val="center"/>
          </w:tcPr>
          <w:p>
            <w:pPr>
              <w:pStyle w:val="30"/>
            </w:pPr>
            <w:r>
              <w:t>收集代表建议</w:t>
            </w:r>
          </w:p>
        </w:tc>
        <w:tc>
          <w:tcPr>
            <w:tcW w:w="2551" w:type="dxa"/>
            <w:vAlign w:val="center"/>
          </w:tcPr>
          <w:p>
            <w:pPr>
              <w:pStyle w:val="30"/>
            </w:pPr>
            <w:r>
              <w:t>收集整理</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生态效益指标</w:t>
            </w:r>
          </w:p>
        </w:tc>
        <w:tc>
          <w:tcPr>
            <w:tcW w:w="2835" w:type="dxa"/>
            <w:vAlign w:val="center"/>
          </w:tcPr>
          <w:p>
            <w:pPr>
              <w:pStyle w:val="30"/>
            </w:pPr>
            <w:r>
              <w:t>生态效益指标</w:t>
            </w:r>
          </w:p>
        </w:tc>
        <w:tc>
          <w:tcPr>
            <w:tcW w:w="2551" w:type="dxa"/>
            <w:vAlign w:val="center"/>
          </w:tcPr>
          <w:p>
            <w:pPr>
              <w:pStyle w:val="30"/>
            </w:pPr>
            <w:r>
              <w:t>显著增强</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可持续影响指标</w:t>
            </w:r>
          </w:p>
        </w:tc>
        <w:tc>
          <w:tcPr>
            <w:tcW w:w="2835" w:type="dxa"/>
            <w:vAlign w:val="center"/>
          </w:tcPr>
          <w:p>
            <w:pPr>
              <w:pStyle w:val="30"/>
            </w:pPr>
            <w:r>
              <w:t>可持续影响指标</w:t>
            </w:r>
          </w:p>
        </w:tc>
        <w:tc>
          <w:tcPr>
            <w:tcW w:w="2551" w:type="dxa"/>
            <w:vAlign w:val="center"/>
          </w:tcPr>
          <w:p>
            <w:pPr>
              <w:pStyle w:val="30"/>
            </w:pPr>
            <w:r>
              <w:t>长期规划</w:t>
            </w:r>
          </w:p>
        </w:tc>
        <w:tc>
          <w:tcPr>
            <w:tcW w:w="2268" w:type="dxa"/>
            <w:vAlign w:val="center"/>
          </w:tcPr>
          <w:p>
            <w:pPr>
              <w:pStyle w:val="30"/>
            </w:pPr>
            <w:r>
              <w:t>年初工作要点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参会人员满意度</w:t>
            </w:r>
          </w:p>
        </w:tc>
        <w:tc>
          <w:tcPr>
            <w:tcW w:w="2835" w:type="dxa"/>
            <w:vAlign w:val="center"/>
          </w:tcPr>
          <w:p>
            <w:pPr>
              <w:pStyle w:val="30"/>
            </w:pPr>
            <w:r>
              <w:t>参会代表、与会工作人员满意度</w:t>
            </w:r>
          </w:p>
        </w:tc>
        <w:tc>
          <w:tcPr>
            <w:tcW w:w="2551" w:type="dxa"/>
            <w:vAlign w:val="center"/>
          </w:tcPr>
          <w:p>
            <w:pPr>
              <w:pStyle w:val="30"/>
            </w:pPr>
            <w:r>
              <w:t>≥95%</w:t>
            </w:r>
          </w:p>
        </w:tc>
        <w:tc>
          <w:tcPr>
            <w:tcW w:w="2268" w:type="dxa"/>
            <w:vAlign w:val="center"/>
          </w:tcPr>
          <w:p>
            <w:pPr>
              <w:pStyle w:val="30"/>
            </w:pPr>
            <w:r>
              <w:t>年初工作要点</w:t>
            </w:r>
          </w:p>
        </w:tc>
      </w:tr>
    </w:tbl>
    <w:p>
      <w:pPr>
        <w:pStyle w:val="28"/>
        <w:rPr>
          <w:rFonts w:hint="eastAsia" w:eastAsiaTheme="minorEastAsia"/>
          <w:lang w:eastAsia="zh-CN"/>
        </w:rPr>
      </w:pPr>
    </w:p>
    <w:p>
      <w:pPr>
        <w:pStyle w:val="28"/>
        <w:rPr>
          <w:rFonts w:hint="eastAsia" w:eastAsiaTheme="minorEastAsia"/>
          <w:lang w:eastAsia="zh-CN"/>
        </w:rPr>
      </w:pPr>
    </w:p>
    <w:p>
      <w:pPr>
        <w:pStyle w:val="28"/>
        <w:rPr>
          <w:rFonts w:hint="eastAsia" w:eastAsiaTheme="minorEastAsia"/>
          <w:lang w:eastAsia="zh-CN"/>
        </w:rPr>
      </w:pPr>
    </w:p>
    <w:p>
      <w:pPr>
        <w:pStyle w:val="28"/>
        <w:rPr>
          <w:rFonts w:hint="eastAsia" w:eastAsiaTheme="minorEastAsia"/>
          <w:lang w:eastAsia="zh-CN"/>
        </w:rPr>
      </w:pPr>
    </w:p>
    <w:p>
      <w:pPr>
        <w:pStyle w:val="28"/>
        <w:rPr>
          <w:rFonts w:hint="eastAsia" w:eastAsiaTheme="minorEastAsia"/>
          <w:lang w:eastAsia="zh-CN"/>
        </w:rPr>
      </w:pPr>
    </w:p>
    <w:p>
      <w:pPr>
        <w:pStyle w:val="28"/>
        <w:rPr>
          <w:rFonts w:hint="eastAsia" w:eastAsiaTheme="minorEastAsia"/>
          <w:lang w:eastAsia="zh-CN"/>
        </w:rPr>
      </w:pPr>
    </w:p>
    <w:p>
      <w:pPr>
        <w:pStyle w:val="28"/>
        <w:rPr>
          <w:rFonts w:hint="eastAsia" w:eastAsiaTheme="minorEastAsia"/>
          <w:lang w:eastAsia="zh-CN"/>
        </w:rPr>
      </w:pPr>
    </w:p>
    <w:p>
      <w:pPr>
        <w:pStyle w:val="28"/>
        <w:ind w:firstLine="560"/>
      </w:pPr>
      <w:r>
        <w:rPr>
          <w:rFonts w:ascii="方正仿宋_GBK" w:hAnsi="方正仿宋_GBK" w:eastAsia="方正仿宋_GBK" w:cs="方正仿宋_GBK"/>
          <w:b/>
          <w:color w:val="000000"/>
          <w:sz w:val="28"/>
        </w:rPr>
        <w:t>2、2022年度培训费项目绩效目标表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3232"/>
        <w:gridCol w:w="2154"/>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3232" w:type="dxa"/>
            <w:vAlign w:val="center"/>
          </w:tcPr>
          <w:p>
            <w:pPr>
              <w:pStyle w:val="29"/>
            </w:pPr>
            <w:r>
              <w:t>绩效指标描述</w:t>
            </w:r>
          </w:p>
        </w:tc>
        <w:tc>
          <w:tcPr>
            <w:tcW w:w="2154"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组织培训次数</w:t>
            </w:r>
          </w:p>
        </w:tc>
        <w:tc>
          <w:tcPr>
            <w:tcW w:w="3232" w:type="dxa"/>
            <w:vAlign w:val="center"/>
          </w:tcPr>
          <w:p>
            <w:pPr>
              <w:pStyle w:val="30"/>
            </w:pPr>
            <w:r>
              <w:t>组织培训次数</w:t>
            </w:r>
          </w:p>
        </w:tc>
        <w:tc>
          <w:tcPr>
            <w:tcW w:w="2154" w:type="dxa"/>
            <w:vAlign w:val="center"/>
          </w:tcPr>
          <w:p>
            <w:pPr>
              <w:pStyle w:val="30"/>
            </w:pPr>
            <w:r>
              <w:t>≥2次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培训课程数量</w:t>
            </w:r>
          </w:p>
        </w:tc>
        <w:tc>
          <w:tcPr>
            <w:tcW w:w="3232" w:type="dxa"/>
            <w:vAlign w:val="center"/>
          </w:tcPr>
          <w:p>
            <w:pPr>
              <w:pStyle w:val="30"/>
            </w:pPr>
            <w:r>
              <w:t>课程培训数量</w:t>
            </w:r>
          </w:p>
        </w:tc>
        <w:tc>
          <w:tcPr>
            <w:tcW w:w="2154" w:type="dxa"/>
            <w:vAlign w:val="center"/>
          </w:tcPr>
          <w:p>
            <w:pPr>
              <w:pStyle w:val="30"/>
            </w:pPr>
            <w:r>
              <w:t>≥2节</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参与培训人数</w:t>
            </w:r>
          </w:p>
        </w:tc>
        <w:tc>
          <w:tcPr>
            <w:tcW w:w="3232" w:type="dxa"/>
            <w:vAlign w:val="center"/>
          </w:tcPr>
          <w:p>
            <w:pPr>
              <w:pStyle w:val="30"/>
            </w:pPr>
            <w:r>
              <w:t>参加培训的人数</w:t>
            </w:r>
          </w:p>
        </w:tc>
        <w:tc>
          <w:tcPr>
            <w:tcW w:w="2154" w:type="dxa"/>
            <w:vAlign w:val="center"/>
          </w:tcPr>
          <w:p>
            <w:pPr>
              <w:pStyle w:val="30"/>
            </w:pPr>
            <w:r>
              <w:t>≥50人</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培训持续天数</w:t>
            </w:r>
          </w:p>
        </w:tc>
        <w:tc>
          <w:tcPr>
            <w:tcW w:w="3232" w:type="dxa"/>
            <w:vAlign w:val="center"/>
          </w:tcPr>
          <w:p>
            <w:pPr>
              <w:pStyle w:val="30"/>
            </w:pPr>
            <w:r>
              <w:t>培训持续的天数</w:t>
            </w:r>
          </w:p>
        </w:tc>
        <w:tc>
          <w:tcPr>
            <w:tcW w:w="2154" w:type="dxa"/>
            <w:vAlign w:val="center"/>
          </w:tcPr>
          <w:p>
            <w:pPr>
              <w:pStyle w:val="30"/>
            </w:pPr>
            <w:r>
              <w:t>≥5天</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培训人员出勤率</w:t>
            </w:r>
          </w:p>
        </w:tc>
        <w:tc>
          <w:tcPr>
            <w:tcW w:w="3232" w:type="dxa"/>
            <w:vAlign w:val="center"/>
          </w:tcPr>
          <w:p>
            <w:pPr>
              <w:pStyle w:val="30"/>
            </w:pPr>
            <w:r>
              <w:t>参训人员出勤率=培训出勤人数/培训总人数*100%</w:t>
            </w:r>
          </w:p>
        </w:tc>
        <w:tc>
          <w:tcPr>
            <w:tcW w:w="2154" w:type="dxa"/>
            <w:vAlign w:val="center"/>
          </w:tcPr>
          <w:p>
            <w:pPr>
              <w:pStyle w:val="30"/>
            </w:pPr>
            <w:r>
              <w:t>≥95%</w:t>
            </w:r>
          </w:p>
        </w:tc>
        <w:tc>
          <w:tcPr>
            <w:tcW w:w="2268" w:type="dxa"/>
            <w:vAlign w:val="center"/>
          </w:tcPr>
          <w:p>
            <w:pPr>
              <w:pStyle w:val="3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培训讲师资质</w:t>
            </w:r>
          </w:p>
        </w:tc>
        <w:tc>
          <w:tcPr>
            <w:tcW w:w="3232" w:type="dxa"/>
            <w:vAlign w:val="center"/>
          </w:tcPr>
          <w:p>
            <w:pPr>
              <w:pStyle w:val="30"/>
            </w:pPr>
            <w:r>
              <w:t>培训讲师资质情况是否达标</w:t>
            </w:r>
          </w:p>
        </w:tc>
        <w:tc>
          <w:tcPr>
            <w:tcW w:w="2154" w:type="dxa"/>
            <w:vAlign w:val="center"/>
          </w:tcPr>
          <w:p>
            <w:pPr>
              <w:pStyle w:val="30"/>
            </w:pPr>
            <w:r>
              <w:t>达标</w:t>
            </w:r>
          </w:p>
        </w:tc>
        <w:tc>
          <w:tcPr>
            <w:tcW w:w="2268" w:type="dxa"/>
            <w:vAlign w:val="center"/>
          </w:tcPr>
          <w:p>
            <w:pPr>
              <w:pStyle w:val="3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培训人员合格率</w:t>
            </w:r>
          </w:p>
        </w:tc>
        <w:tc>
          <w:tcPr>
            <w:tcW w:w="3232" w:type="dxa"/>
            <w:vAlign w:val="center"/>
          </w:tcPr>
          <w:p>
            <w:pPr>
              <w:pStyle w:val="30"/>
            </w:pPr>
            <w:r>
              <w:t>培训人员合格率=培训合格人数/培训总人数*100%</w:t>
            </w:r>
          </w:p>
        </w:tc>
        <w:tc>
          <w:tcPr>
            <w:tcW w:w="2154" w:type="dxa"/>
            <w:vAlign w:val="center"/>
          </w:tcPr>
          <w:p>
            <w:pPr>
              <w:pStyle w:val="30"/>
            </w:pPr>
            <w:r>
              <w:t>≥95%</w:t>
            </w:r>
          </w:p>
        </w:tc>
        <w:tc>
          <w:tcPr>
            <w:tcW w:w="2268" w:type="dxa"/>
            <w:vAlign w:val="center"/>
          </w:tcPr>
          <w:p>
            <w:pPr>
              <w:pStyle w:val="30"/>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培训开展及时性</w:t>
            </w:r>
          </w:p>
        </w:tc>
        <w:tc>
          <w:tcPr>
            <w:tcW w:w="3232" w:type="dxa"/>
            <w:vAlign w:val="center"/>
          </w:tcPr>
          <w:p>
            <w:pPr>
              <w:pStyle w:val="30"/>
            </w:pPr>
            <w:r>
              <w:t>培训是否如期开展，按期完成。</w:t>
            </w:r>
          </w:p>
        </w:tc>
        <w:tc>
          <w:tcPr>
            <w:tcW w:w="2154" w:type="dxa"/>
            <w:vAlign w:val="center"/>
          </w:tcPr>
          <w:p>
            <w:pPr>
              <w:pStyle w:val="30"/>
            </w:pPr>
            <w:r>
              <w:t>如期举办</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人均培训成本</w:t>
            </w:r>
          </w:p>
        </w:tc>
        <w:tc>
          <w:tcPr>
            <w:tcW w:w="3232" w:type="dxa"/>
            <w:vAlign w:val="center"/>
          </w:tcPr>
          <w:p>
            <w:pPr>
              <w:pStyle w:val="30"/>
            </w:pPr>
            <w:r>
              <w:t>开展培训单位人员成本情况。</w:t>
            </w:r>
          </w:p>
        </w:tc>
        <w:tc>
          <w:tcPr>
            <w:tcW w:w="2154" w:type="dxa"/>
            <w:vAlign w:val="center"/>
          </w:tcPr>
          <w:p>
            <w:pPr>
              <w:pStyle w:val="30"/>
            </w:pPr>
            <w:r>
              <w:t>≤550元</w:t>
            </w:r>
          </w:p>
        </w:tc>
        <w:tc>
          <w:tcPr>
            <w:tcW w:w="2268" w:type="dxa"/>
            <w:vAlign w:val="center"/>
          </w:tcPr>
          <w:p>
            <w:pPr>
              <w:pStyle w:val="30"/>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经济效益增长</w:t>
            </w:r>
          </w:p>
        </w:tc>
        <w:tc>
          <w:tcPr>
            <w:tcW w:w="3232" w:type="dxa"/>
            <w:vAlign w:val="center"/>
          </w:tcPr>
          <w:p>
            <w:pPr>
              <w:pStyle w:val="30"/>
            </w:pPr>
            <w:r>
              <w:t>代表为我市经济发展建设提出建议、议案</w:t>
            </w:r>
          </w:p>
        </w:tc>
        <w:tc>
          <w:tcPr>
            <w:tcW w:w="2154" w:type="dxa"/>
            <w:vAlign w:val="center"/>
          </w:tcPr>
          <w:p>
            <w:pPr>
              <w:pStyle w:val="30"/>
            </w:pPr>
            <w:r>
              <w:t>水平提高</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提升业务能力</w:t>
            </w:r>
          </w:p>
        </w:tc>
        <w:tc>
          <w:tcPr>
            <w:tcW w:w="3232" w:type="dxa"/>
            <w:vAlign w:val="center"/>
          </w:tcPr>
          <w:p>
            <w:pPr>
              <w:pStyle w:val="30"/>
            </w:pPr>
            <w:r>
              <w:t>参加培训人员业务提升情况</w:t>
            </w:r>
          </w:p>
        </w:tc>
        <w:tc>
          <w:tcPr>
            <w:tcW w:w="2154" w:type="dxa"/>
            <w:vAlign w:val="center"/>
          </w:tcPr>
          <w:p>
            <w:pPr>
              <w:pStyle w:val="30"/>
            </w:pPr>
            <w:r>
              <w:t>业务提升</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培训人员获奖情况</w:t>
            </w:r>
          </w:p>
        </w:tc>
        <w:tc>
          <w:tcPr>
            <w:tcW w:w="3232" w:type="dxa"/>
            <w:vAlign w:val="center"/>
          </w:tcPr>
          <w:p>
            <w:pPr>
              <w:pStyle w:val="30"/>
            </w:pPr>
            <w:r>
              <w:t>参与培训人员在省、市被评为先进，获得省、市级奖项情况。</w:t>
            </w:r>
          </w:p>
        </w:tc>
        <w:tc>
          <w:tcPr>
            <w:tcW w:w="2154" w:type="dxa"/>
            <w:vAlign w:val="center"/>
          </w:tcPr>
          <w:p>
            <w:pPr>
              <w:pStyle w:val="30"/>
            </w:pPr>
            <w:r>
              <w:t>≥1人</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生态环境保护</w:t>
            </w:r>
          </w:p>
        </w:tc>
        <w:tc>
          <w:tcPr>
            <w:tcW w:w="3232" w:type="dxa"/>
            <w:vAlign w:val="center"/>
          </w:tcPr>
          <w:p>
            <w:pPr>
              <w:pStyle w:val="30"/>
            </w:pPr>
            <w:r>
              <w:t>代表为我市环境发展、生态保护提出建议、议案</w:t>
            </w:r>
          </w:p>
        </w:tc>
        <w:tc>
          <w:tcPr>
            <w:tcW w:w="2154" w:type="dxa"/>
            <w:vAlign w:val="center"/>
          </w:tcPr>
          <w:p>
            <w:pPr>
              <w:pStyle w:val="30"/>
            </w:pPr>
            <w:r>
              <w:t>水平提高</w:t>
            </w:r>
          </w:p>
          <w:p>
            <w:pPr>
              <w:pStyle w:val="30"/>
            </w:pP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提升长期竞争力</w:t>
            </w:r>
          </w:p>
        </w:tc>
        <w:tc>
          <w:tcPr>
            <w:tcW w:w="3232" w:type="dxa"/>
            <w:vAlign w:val="center"/>
          </w:tcPr>
          <w:p>
            <w:pPr>
              <w:pStyle w:val="30"/>
            </w:pPr>
            <w:r>
              <w:t>培训的开展是否有利于持续提升参训人员在同行业、同领域的竞争力。</w:t>
            </w:r>
          </w:p>
        </w:tc>
        <w:tc>
          <w:tcPr>
            <w:tcW w:w="2154" w:type="dxa"/>
            <w:vAlign w:val="center"/>
          </w:tcPr>
          <w:p>
            <w:pPr>
              <w:pStyle w:val="30"/>
            </w:pPr>
            <w:r>
              <w:t>有效提升</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服务代表满意度</w:t>
            </w:r>
          </w:p>
        </w:tc>
        <w:tc>
          <w:tcPr>
            <w:tcW w:w="3232" w:type="dxa"/>
            <w:vAlign w:val="center"/>
          </w:tcPr>
          <w:p>
            <w:pPr>
              <w:pStyle w:val="30"/>
            </w:pPr>
            <w:r>
              <w:t>参训代表满意度</w:t>
            </w:r>
          </w:p>
        </w:tc>
        <w:tc>
          <w:tcPr>
            <w:tcW w:w="2154" w:type="dxa"/>
            <w:vAlign w:val="center"/>
          </w:tcPr>
          <w:p>
            <w:pPr>
              <w:pStyle w:val="30"/>
            </w:pPr>
            <w:r>
              <w:t>≥95%</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835" w:type="dxa"/>
            <w:vAlign w:val="center"/>
          </w:tcPr>
          <w:p>
            <w:pPr>
              <w:pStyle w:val="30"/>
            </w:pPr>
            <w:r>
              <w:t>服务机关工作人员满意度</w:t>
            </w:r>
          </w:p>
        </w:tc>
        <w:tc>
          <w:tcPr>
            <w:tcW w:w="3232" w:type="dxa"/>
            <w:vAlign w:val="center"/>
          </w:tcPr>
          <w:p>
            <w:pPr>
              <w:pStyle w:val="30"/>
            </w:pPr>
            <w:r>
              <w:t>参训机关工作人员满意度</w:t>
            </w:r>
          </w:p>
        </w:tc>
        <w:tc>
          <w:tcPr>
            <w:tcW w:w="2154" w:type="dxa"/>
            <w:vAlign w:val="center"/>
          </w:tcPr>
          <w:p>
            <w:pPr>
              <w:pStyle w:val="30"/>
            </w:pPr>
            <w:r>
              <w:t>≥95%</w:t>
            </w:r>
          </w:p>
        </w:tc>
        <w:tc>
          <w:tcPr>
            <w:tcW w:w="2268" w:type="dxa"/>
            <w:vAlign w:val="center"/>
          </w:tcPr>
          <w:p>
            <w:pPr>
              <w:pStyle w:val="30"/>
            </w:pPr>
            <w:r>
              <w:t>工作目标</w:t>
            </w:r>
          </w:p>
        </w:tc>
      </w:tr>
    </w:tbl>
    <w:p>
      <w:pPr>
        <w:pStyle w:val="28"/>
      </w:pPr>
    </w:p>
    <w:p>
      <w:pPr>
        <w:pStyle w:val="28"/>
        <w:ind w:firstLine="560"/>
      </w:pPr>
      <w:r>
        <w:rPr>
          <w:rFonts w:ascii="方正仿宋_GBK" w:hAnsi="方正仿宋_GBK" w:eastAsia="方正仿宋_GBK" w:cs="方正仿宋_GBK"/>
          <w:b/>
          <w:color w:val="000000"/>
          <w:sz w:val="28"/>
        </w:rPr>
        <w:t>3、2022年度人大专网维护费项目绩效目标表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门户网站维护数量</w:t>
            </w:r>
          </w:p>
        </w:tc>
        <w:tc>
          <w:tcPr>
            <w:tcW w:w="2835" w:type="dxa"/>
            <w:vAlign w:val="center"/>
          </w:tcPr>
          <w:p>
            <w:pPr>
              <w:pStyle w:val="30"/>
            </w:pPr>
            <w:r>
              <w:t>对人大常委会机关门户网站进行升级维护的次数、以及上传新闻稿件的数量</w:t>
            </w:r>
          </w:p>
        </w:tc>
        <w:tc>
          <w:tcPr>
            <w:tcW w:w="2551"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机要保密系统建设及维护数量</w:t>
            </w:r>
          </w:p>
        </w:tc>
        <w:tc>
          <w:tcPr>
            <w:tcW w:w="2835" w:type="dxa"/>
            <w:vAlign w:val="center"/>
          </w:tcPr>
          <w:p>
            <w:pPr>
              <w:pStyle w:val="30"/>
            </w:pPr>
            <w:r>
              <w:t>机要保密系统建设数量及年度内维护数量</w:t>
            </w:r>
          </w:p>
        </w:tc>
        <w:tc>
          <w:tcPr>
            <w:tcW w:w="2551"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保障红机电话通讯</w:t>
            </w:r>
          </w:p>
        </w:tc>
        <w:tc>
          <w:tcPr>
            <w:tcW w:w="2835" w:type="dxa"/>
            <w:vAlign w:val="center"/>
          </w:tcPr>
          <w:p>
            <w:pPr>
              <w:pStyle w:val="30"/>
            </w:pPr>
            <w:r>
              <w:t>保障机关所有红机电话正常使用、通话畅通</w:t>
            </w:r>
          </w:p>
        </w:tc>
        <w:tc>
          <w:tcPr>
            <w:tcW w:w="2551" w:type="dxa"/>
            <w:vAlign w:val="center"/>
          </w:tcPr>
          <w:p>
            <w:pPr>
              <w:pStyle w:val="30"/>
            </w:pPr>
            <w:r>
              <w:t>畅通</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保障视频会议召开</w:t>
            </w:r>
          </w:p>
        </w:tc>
        <w:tc>
          <w:tcPr>
            <w:tcW w:w="2835" w:type="dxa"/>
            <w:vAlign w:val="center"/>
          </w:tcPr>
          <w:p>
            <w:pPr>
              <w:pStyle w:val="30"/>
            </w:pPr>
            <w:r>
              <w:t>保障常委会机关组织召开的视频会议线路顺畅、信号正常</w:t>
            </w:r>
          </w:p>
        </w:tc>
        <w:tc>
          <w:tcPr>
            <w:tcW w:w="2551" w:type="dxa"/>
            <w:vAlign w:val="center"/>
          </w:tcPr>
          <w:p>
            <w:pPr>
              <w:pStyle w:val="30"/>
            </w:pPr>
            <w:r>
              <w:t>顺利</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保障门户网站正常运转及更新</w:t>
            </w:r>
          </w:p>
        </w:tc>
        <w:tc>
          <w:tcPr>
            <w:tcW w:w="2835" w:type="dxa"/>
            <w:vAlign w:val="center"/>
          </w:tcPr>
          <w:p>
            <w:pPr>
              <w:pStyle w:val="30"/>
            </w:pPr>
            <w:r>
              <w:t>与承德日报社签订合同，对门户网站进行升级维护，保障常委会机关门户网站正常运转</w:t>
            </w:r>
          </w:p>
        </w:tc>
        <w:tc>
          <w:tcPr>
            <w:tcW w:w="2551" w:type="dxa"/>
            <w:vAlign w:val="center"/>
          </w:tcPr>
          <w:p>
            <w:pPr>
              <w:pStyle w:val="30"/>
            </w:pPr>
            <w:r>
              <w:t>保障</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机要保密系统正常运转</w:t>
            </w:r>
          </w:p>
        </w:tc>
        <w:tc>
          <w:tcPr>
            <w:tcW w:w="2835" w:type="dxa"/>
            <w:vAlign w:val="center"/>
          </w:tcPr>
          <w:p>
            <w:pPr>
              <w:pStyle w:val="30"/>
            </w:pPr>
            <w:r>
              <w:t>对机要保密系统进行建设，并进行日常维护</w:t>
            </w:r>
          </w:p>
        </w:tc>
        <w:tc>
          <w:tcPr>
            <w:tcW w:w="2551" w:type="dxa"/>
            <w:vAlign w:val="center"/>
          </w:tcPr>
          <w:p>
            <w:pPr>
              <w:pStyle w:val="30"/>
            </w:pPr>
            <w:r>
              <w:t>正常</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报道首发率</w:t>
            </w:r>
          </w:p>
        </w:tc>
        <w:tc>
          <w:tcPr>
            <w:tcW w:w="2835" w:type="dxa"/>
            <w:vAlign w:val="center"/>
          </w:tcPr>
          <w:p>
            <w:pPr>
              <w:pStyle w:val="30"/>
            </w:pPr>
            <w:r>
              <w:t>报道首发率=常委会发表的新闻稿、信息首发数量/所有公开发表的新闻稿、信息数量</w:t>
            </w:r>
          </w:p>
        </w:tc>
        <w:tc>
          <w:tcPr>
            <w:tcW w:w="2551" w:type="dxa"/>
            <w:vAlign w:val="center"/>
          </w:tcPr>
          <w:p>
            <w:pPr>
              <w:pStyle w:val="30"/>
            </w:pPr>
            <w:r>
              <w:t>≥95%</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会议召开时效性</w:t>
            </w:r>
          </w:p>
        </w:tc>
        <w:tc>
          <w:tcPr>
            <w:tcW w:w="2835" w:type="dxa"/>
            <w:vAlign w:val="center"/>
          </w:tcPr>
          <w:p>
            <w:pPr>
              <w:pStyle w:val="30"/>
            </w:pPr>
            <w:r>
              <w:t>常委会组织召开云视频会议、以及参加省人大组织召开云视频会议的及时性</w:t>
            </w:r>
          </w:p>
        </w:tc>
        <w:tc>
          <w:tcPr>
            <w:tcW w:w="2551" w:type="dxa"/>
            <w:vAlign w:val="center"/>
          </w:tcPr>
          <w:p>
            <w:pPr>
              <w:pStyle w:val="30"/>
            </w:pPr>
            <w:r>
              <w:t>及时性</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系统安装 /维护及时性</w:t>
            </w:r>
          </w:p>
        </w:tc>
        <w:tc>
          <w:tcPr>
            <w:tcW w:w="2835" w:type="dxa"/>
            <w:vAlign w:val="center"/>
          </w:tcPr>
          <w:p>
            <w:pPr>
              <w:pStyle w:val="30"/>
            </w:pPr>
            <w:r>
              <w:t>系统在规定时间内安装/维护，不延期</w:t>
            </w:r>
          </w:p>
        </w:tc>
        <w:tc>
          <w:tcPr>
            <w:tcW w:w="2551" w:type="dxa"/>
            <w:vAlign w:val="center"/>
          </w:tcPr>
          <w:p>
            <w:pPr>
              <w:pStyle w:val="30"/>
            </w:pPr>
            <w:r>
              <w:t>及时性</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线路租用成本</w:t>
            </w:r>
          </w:p>
        </w:tc>
        <w:tc>
          <w:tcPr>
            <w:tcW w:w="2835" w:type="dxa"/>
            <w:vAlign w:val="center"/>
          </w:tcPr>
          <w:p>
            <w:pPr>
              <w:pStyle w:val="30"/>
            </w:pPr>
            <w:r>
              <w:t>视频会议召开时，线路租用成本</w:t>
            </w:r>
          </w:p>
        </w:tc>
        <w:tc>
          <w:tcPr>
            <w:tcW w:w="2551" w:type="dxa"/>
            <w:vAlign w:val="center"/>
          </w:tcPr>
          <w:p>
            <w:pPr>
              <w:pStyle w:val="30"/>
            </w:pPr>
            <w:r>
              <w:t>≤4万元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系统采购成本</w:t>
            </w:r>
          </w:p>
        </w:tc>
        <w:tc>
          <w:tcPr>
            <w:tcW w:w="2835" w:type="dxa"/>
            <w:vAlign w:val="center"/>
          </w:tcPr>
          <w:p>
            <w:pPr>
              <w:pStyle w:val="30"/>
            </w:pPr>
            <w:r>
              <w:t>机要保密系统采购、安装、维护成本</w:t>
            </w:r>
          </w:p>
        </w:tc>
        <w:tc>
          <w:tcPr>
            <w:tcW w:w="2551" w:type="dxa"/>
            <w:vAlign w:val="center"/>
          </w:tcPr>
          <w:p>
            <w:pPr>
              <w:pStyle w:val="30"/>
            </w:pPr>
            <w:r>
              <w:t>≤3万元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年度维护成本增长率</w:t>
            </w:r>
          </w:p>
        </w:tc>
        <w:tc>
          <w:tcPr>
            <w:tcW w:w="2835" w:type="dxa"/>
            <w:vAlign w:val="center"/>
          </w:tcPr>
          <w:p>
            <w:pPr>
              <w:pStyle w:val="30"/>
            </w:pPr>
            <w:r>
              <w:t>人大门户网站年度维护成本增长率=（本年度维护成本-上年度维护成本）/上年度维护成本*100%</w:t>
            </w:r>
          </w:p>
        </w:tc>
        <w:tc>
          <w:tcPr>
            <w:tcW w:w="2551" w:type="dxa"/>
            <w:vAlign w:val="center"/>
          </w:tcPr>
          <w:p>
            <w:pPr>
              <w:pStyle w:val="30"/>
            </w:pPr>
            <w:r>
              <w:t>≤5%</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成本控制率</w:t>
            </w:r>
          </w:p>
        </w:tc>
        <w:tc>
          <w:tcPr>
            <w:tcW w:w="2835" w:type="dxa"/>
            <w:vAlign w:val="center"/>
          </w:tcPr>
          <w:p>
            <w:pPr>
              <w:pStyle w:val="30"/>
            </w:pPr>
            <w:r>
              <w:t>红机电话成本控制率=实际支出数/预算下达数*100%</w:t>
            </w:r>
          </w:p>
        </w:tc>
        <w:tc>
          <w:tcPr>
            <w:tcW w:w="2551" w:type="dxa"/>
            <w:vAlign w:val="center"/>
          </w:tcPr>
          <w:p>
            <w:pPr>
              <w:pStyle w:val="30"/>
            </w:pPr>
            <w:r>
              <w:t>≤10%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提升工作效率</w:t>
            </w:r>
          </w:p>
        </w:tc>
        <w:tc>
          <w:tcPr>
            <w:tcW w:w="2835" w:type="dxa"/>
            <w:vAlign w:val="center"/>
          </w:tcPr>
          <w:p>
            <w:pPr>
              <w:pStyle w:val="30"/>
            </w:pPr>
            <w:r>
              <w:t>设备购置对工作效率带来的提升</w:t>
            </w:r>
          </w:p>
        </w:tc>
        <w:tc>
          <w:tcPr>
            <w:tcW w:w="2551" w:type="dxa"/>
            <w:vAlign w:val="center"/>
          </w:tcPr>
          <w:p>
            <w:pPr>
              <w:pStyle w:val="30"/>
            </w:pPr>
            <w:r>
              <w:t>提升</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提高机要工作水平</w:t>
            </w:r>
          </w:p>
        </w:tc>
        <w:tc>
          <w:tcPr>
            <w:tcW w:w="2835" w:type="dxa"/>
            <w:vAlign w:val="center"/>
          </w:tcPr>
          <w:p>
            <w:pPr>
              <w:pStyle w:val="30"/>
            </w:pPr>
            <w:r>
              <w:t>保密系统的建设完善，将提高机要工作的保障</w:t>
            </w:r>
          </w:p>
        </w:tc>
        <w:tc>
          <w:tcPr>
            <w:tcW w:w="2551" w:type="dxa"/>
            <w:vAlign w:val="center"/>
          </w:tcPr>
          <w:p>
            <w:pPr>
              <w:pStyle w:val="30"/>
            </w:pPr>
            <w:r>
              <w:t>提高、</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提高保密工作水平</w:t>
            </w:r>
          </w:p>
        </w:tc>
        <w:tc>
          <w:tcPr>
            <w:tcW w:w="2835" w:type="dxa"/>
            <w:vAlign w:val="center"/>
          </w:tcPr>
          <w:p>
            <w:pPr>
              <w:pStyle w:val="30"/>
            </w:pPr>
            <w:r>
              <w:t>红机电话的正常使用，将保密工作进一步提升</w:t>
            </w:r>
          </w:p>
        </w:tc>
        <w:tc>
          <w:tcPr>
            <w:tcW w:w="2551" w:type="dxa"/>
            <w:vAlign w:val="center"/>
          </w:tcPr>
          <w:p>
            <w:pPr>
              <w:pStyle w:val="30"/>
            </w:pPr>
            <w:r>
              <w:t>提升</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提升网络安全故障处理能力</w:t>
            </w:r>
          </w:p>
        </w:tc>
        <w:tc>
          <w:tcPr>
            <w:tcW w:w="2835" w:type="dxa"/>
            <w:vAlign w:val="center"/>
          </w:tcPr>
          <w:p>
            <w:pPr>
              <w:pStyle w:val="30"/>
            </w:pPr>
            <w:r>
              <w:t>提升网络安全故障处理能力</w:t>
            </w:r>
          </w:p>
        </w:tc>
        <w:tc>
          <w:tcPr>
            <w:tcW w:w="2551" w:type="dxa"/>
            <w:vAlign w:val="center"/>
          </w:tcPr>
          <w:p>
            <w:pPr>
              <w:pStyle w:val="30"/>
            </w:pPr>
            <w:r>
              <w:t>提升</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满足人大宣传需求</w:t>
            </w:r>
          </w:p>
        </w:tc>
        <w:tc>
          <w:tcPr>
            <w:tcW w:w="2835" w:type="dxa"/>
            <w:vAlign w:val="center"/>
          </w:tcPr>
          <w:p>
            <w:pPr>
              <w:pStyle w:val="30"/>
            </w:pPr>
            <w:r>
              <w:t>按时、保质保量的完成信息宣传工作，为新时期人大工作做好舆论工作。</w:t>
            </w:r>
          </w:p>
        </w:tc>
        <w:tc>
          <w:tcPr>
            <w:tcW w:w="2551" w:type="dxa"/>
            <w:vAlign w:val="center"/>
          </w:tcPr>
          <w:p>
            <w:pPr>
              <w:pStyle w:val="30"/>
            </w:pPr>
            <w:r>
              <w:t>满足</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可持续影响时限</w:t>
            </w:r>
          </w:p>
        </w:tc>
        <w:tc>
          <w:tcPr>
            <w:tcW w:w="2835" w:type="dxa"/>
            <w:vAlign w:val="center"/>
          </w:tcPr>
          <w:p>
            <w:pPr>
              <w:pStyle w:val="30"/>
            </w:pPr>
            <w:r>
              <w:t>系统建成能够提供长期稳定服务，保障机要保密工作顺利进行，保障人大工作正常运转。</w:t>
            </w:r>
          </w:p>
        </w:tc>
        <w:tc>
          <w:tcPr>
            <w:tcW w:w="2551" w:type="dxa"/>
            <w:vAlign w:val="center"/>
          </w:tcPr>
          <w:p>
            <w:pPr>
              <w:pStyle w:val="30"/>
            </w:pPr>
            <w:r>
              <w:t>长期</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可持续影响时限</w:t>
            </w:r>
          </w:p>
        </w:tc>
        <w:tc>
          <w:tcPr>
            <w:tcW w:w="2835" w:type="dxa"/>
            <w:vAlign w:val="center"/>
          </w:tcPr>
          <w:p>
            <w:pPr>
              <w:pStyle w:val="30"/>
            </w:pPr>
            <w:r>
              <w:t>在人大门户网站上发布的信息，受关注时长</w:t>
            </w:r>
          </w:p>
        </w:tc>
        <w:tc>
          <w:tcPr>
            <w:tcW w:w="2551" w:type="dxa"/>
            <w:vAlign w:val="center"/>
          </w:tcPr>
          <w:p>
            <w:pPr>
              <w:pStyle w:val="30"/>
            </w:pPr>
            <w:r>
              <w:t>≥24小时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服务人员满意度</w:t>
            </w:r>
          </w:p>
        </w:tc>
        <w:tc>
          <w:tcPr>
            <w:tcW w:w="2835" w:type="dxa"/>
            <w:vAlign w:val="center"/>
          </w:tcPr>
          <w:p>
            <w:pPr>
              <w:pStyle w:val="30"/>
            </w:pPr>
            <w:r>
              <w:t>受众人群满意度</w:t>
            </w:r>
          </w:p>
        </w:tc>
        <w:tc>
          <w:tcPr>
            <w:tcW w:w="2551" w:type="dxa"/>
            <w:vAlign w:val="center"/>
          </w:tcPr>
          <w:p>
            <w:pPr>
              <w:pStyle w:val="30"/>
            </w:pPr>
            <w:r>
              <w:t>≥95%</w:t>
            </w:r>
          </w:p>
        </w:tc>
        <w:tc>
          <w:tcPr>
            <w:tcW w:w="2268" w:type="dxa"/>
            <w:vAlign w:val="center"/>
          </w:tcPr>
          <w:p>
            <w:pPr>
              <w:pStyle w:val="30"/>
            </w:pPr>
            <w:r>
              <w:t>年初工作安排</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4、2022年度视察议政业务费绩效目标表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p>
          <w:p>
            <w:pPr>
              <w:pStyle w:val="30"/>
            </w:pPr>
            <w:r>
              <w:t>订阅《公民与法治》</w:t>
            </w:r>
          </w:p>
        </w:tc>
        <w:tc>
          <w:tcPr>
            <w:tcW w:w="2835" w:type="dxa"/>
            <w:vAlign w:val="center"/>
          </w:tcPr>
          <w:p>
            <w:pPr>
              <w:pStyle w:val="30"/>
            </w:pPr>
          </w:p>
          <w:p>
            <w:pPr>
              <w:pStyle w:val="30"/>
            </w:pPr>
            <w:r>
              <w:t>订阅《公民与法治》数量</w:t>
            </w:r>
          </w:p>
        </w:tc>
        <w:tc>
          <w:tcPr>
            <w:tcW w:w="2551" w:type="dxa"/>
            <w:vAlign w:val="center"/>
          </w:tcPr>
          <w:p>
            <w:pPr>
              <w:pStyle w:val="30"/>
            </w:pPr>
            <w:r>
              <w:t>≥8000本</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订阅《中国人大》</w:t>
            </w:r>
          </w:p>
        </w:tc>
        <w:tc>
          <w:tcPr>
            <w:tcW w:w="2835" w:type="dxa"/>
            <w:vAlign w:val="center"/>
          </w:tcPr>
          <w:p>
            <w:pPr>
              <w:pStyle w:val="30"/>
            </w:pPr>
            <w:r>
              <w:t>订阅《中国人大》数量</w:t>
            </w:r>
          </w:p>
        </w:tc>
        <w:tc>
          <w:tcPr>
            <w:tcW w:w="2551" w:type="dxa"/>
            <w:vAlign w:val="center"/>
          </w:tcPr>
          <w:p>
            <w:pPr>
              <w:pStyle w:val="30"/>
            </w:pPr>
            <w:r>
              <w:t>≥8000本</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代表活动经费</w:t>
            </w:r>
          </w:p>
        </w:tc>
        <w:tc>
          <w:tcPr>
            <w:tcW w:w="2835" w:type="dxa"/>
            <w:vAlign w:val="center"/>
          </w:tcPr>
          <w:p>
            <w:pPr>
              <w:pStyle w:val="30"/>
            </w:pPr>
            <w:r>
              <w:t>向各县区下拨年度代表活动经费</w:t>
            </w:r>
          </w:p>
        </w:tc>
        <w:tc>
          <w:tcPr>
            <w:tcW w:w="2551" w:type="dxa"/>
            <w:vAlign w:val="center"/>
          </w:tcPr>
          <w:p>
            <w:pPr>
              <w:pStyle w:val="30"/>
            </w:pPr>
            <w:r>
              <w:t>≥20万元</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代表订阅覆盖率</w:t>
            </w:r>
          </w:p>
        </w:tc>
        <w:tc>
          <w:tcPr>
            <w:tcW w:w="2835" w:type="dxa"/>
            <w:vAlign w:val="center"/>
          </w:tcPr>
          <w:p>
            <w:pPr>
              <w:pStyle w:val="30"/>
            </w:pPr>
            <w:r>
              <w:t>代表订阅覆盖率</w:t>
            </w:r>
          </w:p>
        </w:tc>
        <w:tc>
          <w:tcPr>
            <w:tcW w:w="2551" w:type="dxa"/>
            <w:vAlign w:val="center"/>
          </w:tcPr>
          <w:p>
            <w:pPr>
              <w:pStyle w:val="30"/>
            </w:pPr>
            <w:r>
              <w:t>≥95%</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县区订阅覆盖率</w:t>
            </w:r>
          </w:p>
        </w:tc>
        <w:tc>
          <w:tcPr>
            <w:tcW w:w="2835" w:type="dxa"/>
            <w:vAlign w:val="center"/>
          </w:tcPr>
          <w:p>
            <w:pPr>
              <w:pStyle w:val="30"/>
            </w:pPr>
            <w:r>
              <w:t>县区订阅覆盖率</w:t>
            </w:r>
          </w:p>
        </w:tc>
        <w:tc>
          <w:tcPr>
            <w:tcW w:w="2551" w:type="dxa"/>
            <w:vAlign w:val="center"/>
          </w:tcPr>
          <w:p>
            <w:pPr>
              <w:pStyle w:val="30"/>
            </w:pPr>
            <w:r>
              <w:t>≥95%</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代表开展活动</w:t>
            </w:r>
          </w:p>
        </w:tc>
        <w:tc>
          <w:tcPr>
            <w:tcW w:w="2835" w:type="dxa"/>
            <w:vAlign w:val="center"/>
          </w:tcPr>
          <w:p>
            <w:pPr>
              <w:pStyle w:val="30"/>
            </w:pPr>
            <w:r>
              <w:t>组织代表开展活动</w:t>
            </w:r>
          </w:p>
        </w:tc>
        <w:tc>
          <w:tcPr>
            <w:tcW w:w="2551" w:type="dxa"/>
            <w:vAlign w:val="center"/>
          </w:tcPr>
          <w:p>
            <w:pPr>
              <w:pStyle w:val="30"/>
            </w:pPr>
            <w:r>
              <w:t>≥2次</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订阅杂志及时性</w:t>
            </w:r>
          </w:p>
        </w:tc>
        <w:tc>
          <w:tcPr>
            <w:tcW w:w="2835" w:type="dxa"/>
            <w:vAlign w:val="center"/>
          </w:tcPr>
          <w:p>
            <w:pPr>
              <w:pStyle w:val="30"/>
            </w:pPr>
            <w:r>
              <w:t>订阅杂志及时性</w:t>
            </w:r>
          </w:p>
        </w:tc>
        <w:tc>
          <w:tcPr>
            <w:tcW w:w="2551" w:type="dxa"/>
            <w:vAlign w:val="center"/>
          </w:tcPr>
          <w:p>
            <w:pPr>
              <w:pStyle w:val="30"/>
            </w:pPr>
            <w:r>
              <w:t>及时性</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订阅报刊及时性</w:t>
            </w:r>
          </w:p>
        </w:tc>
        <w:tc>
          <w:tcPr>
            <w:tcW w:w="2835" w:type="dxa"/>
            <w:vAlign w:val="center"/>
          </w:tcPr>
          <w:p>
            <w:pPr>
              <w:pStyle w:val="30"/>
            </w:pPr>
            <w:r>
              <w:t>订阅报刊及时性</w:t>
            </w:r>
          </w:p>
        </w:tc>
        <w:tc>
          <w:tcPr>
            <w:tcW w:w="2551" w:type="dxa"/>
            <w:vAlign w:val="center"/>
          </w:tcPr>
          <w:p>
            <w:pPr>
              <w:pStyle w:val="30"/>
            </w:pPr>
            <w:r>
              <w:t>及时性</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经费下发及时率</w:t>
            </w:r>
          </w:p>
        </w:tc>
        <w:tc>
          <w:tcPr>
            <w:tcW w:w="2835" w:type="dxa"/>
            <w:vAlign w:val="center"/>
          </w:tcPr>
          <w:p>
            <w:pPr>
              <w:pStyle w:val="30"/>
            </w:pPr>
            <w:r>
              <w:t>经费下发及时率</w:t>
            </w:r>
          </w:p>
        </w:tc>
        <w:tc>
          <w:tcPr>
            <w:tcW w:w="2551" w:type="dxa"/>
            <w:vAlign w:val="center"/>
          </w:tcPr>
          <w:p>
            <w:pPr>
              <w:pStyle w:val="30"/>
            </w:pPr>
            <w:r>
              <w:t>及时率</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订阅杂志价格</w:t>
            </w:r>
          </w:p>
        </w:tc>
        <w:tc>
          <w:tcPr>
            <w:tcW w:w="2835" w:type="dxa"/>
            <w:vAlign w:val="center"/>
          </w:tcPr>
          <w:p>
            <w:pPr>
              <w:pStyle w:val="30"/>
            </w:pPr>
            <w:r>
              <w:t>订阅杂志价格</w:t>
            </w:r>
          </w:p>
        </w:tc>
        <w:tc>
          <w:tcPr>
            <w:tcW w:w="2551" w:type="dxa"/>
            <w:vAlign w:val="center"/>
          </w:tcPr>
          <w:p>
            <w:pPr>
              <w:pStyle w:val="30"/>
            </w:pPr>
            <w:r>
              <w:t>≥5万元</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订阅报刊价格</w:t>
            </w:r>
          </w:p>
        </w:tc>
        <w:tc>
          <w:tcPr>
            <w:tcW w:w="2835" w:type="dxa"/>
            <w:vAlign w:val="center"/>
          </w:tcPr>
          <w:p>
            <w:pPr>
              <w:pStyle w:val="30"/>
            </w:pPr>
            <w:r>
              <w:t>订阅报刊价格</w:t>
            </w:r>
          </w:p>
        </w:tc>
        <w:tc>
          <w:tcPr>
            <w:tcW w:w="2551" w:type="dxa"/>
            <w:vAlign w:val="center"/>
          </w:tcPr>
          <w:p>
            <w:pPr>
              <w:pStyle w:val="30"/>
            </w:pPr>
            <w:r>
              <w:t>≥5万元</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代表活动经费</w:t>
            </w:r>
          </w:p>
        </w:tc>
        <w:tc>
          <w:tcPr>
            <w:tcW w:w="2835" w:type="dxa"/>
            <w:vAlign w:val="center"/>
          </w:tcPr>
          <w:p>
            <w:pPr>
              <w:pStyle w:val="30"/>
            </w:pPr>
            <w:r>
              <w:t>代表活动经费</w:t>
            </w:r>
          </w:p>
        </w:tc>
        <w:tc>
          <w:tcPr>
            <w:tcW w:w="2551" w:type="dxa"/>
            <w:vAlign w:val="center"/>
          </w:tcPr>
          <w:p>
            <w:pPr>
              <w:pStyle w:val="30"/>
            </w:pPr>
            <w:r>
              <w:t>≥20万元</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社会效益指标</w:t>
            </w:r>
          </w:p>
        </w:tc>
        <w:tc>
          <w:tcPr>
            <w:tcW w:w="2835" w:type="dxa"/>
            <w:vAlign w:val="center"/>
          </w:tcPr>
          <w:p>
            <w:pPr>
              <w:pStyle w:val="30"/>
            </w:pPr>
            <w:r>
              <w:t>拓宽代表了解社情民意渠道</w:t>
            </w:r>
          </w:p>
        </w:tc>
        <w:tc>
          <w:tcPr>
            <w:tcW w:w="2551" w:type="dxa"/>
            <w:vAlign w:val="center"/>
          </w:tcPr>
          <w:p>
            <w:pPr>
              <w:pStyle w:val="30"/>
            </w:pPr>
            <w:r>
              <w:t>拓宽渠道</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社会效益指标</w:t>
            </w:r>
          </w:p>
        </w:tc>
        <w:tc>
          <w:tcPr>
            <w:tcW w:w="2835" w:type="dxa"/>
            <w:vAlign w:val="center"/>
          </w:tcPr>
          <w:p>
            <w:pPr>
              <w:pStyle w:val="30"/>
            </w:pPr>
            <w:r>
              <w:t>提高代表履职能力</w:t>
            </w:r>
          </w:p>
        </w:tc>
        <w:tc>
          <w:tcPr>
            <w:tcW w:w="2551" w:type="dxa"/>
            <w:vAlign w:val="center"/>
          </w:tcPr>
          <w:p>
            <w:pPr>
              <w:pStyle w:val="30"/>
            </w:pPr>
            <w:r>
              <w:t>提高能力</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可持续影响指标</w:t>
            </w:r>
          </w:p>
        </w:tc>
        <w:tc>
          <w:tcPr>
            <w:tcW w:w="2835" w:type="dxa"/>
            <w:vAlign w:val="center"/>
          </w:tcPr>
          <w:p>
            <w:pPr>
              <w:pStyle w:val="30"/>
            </w:pPr>
            <w:r>
              <w:t>为我市长期可持续发展建言献策</w:t>
            </w:r>
          </w:p>
        </w:tc>
        <w:tc>
          <w:tcPr>
            <w:tcW w:w="2551" w:type="dxa"/>
            <w:vAlign w:val="center"/>
          </w:tcPr>
          <w:p>
            <w:pPr>
              <w:pStyle w:val="30"/>
            </w:pPr>
            <w:r>
              <w:t>长期影响</w:t>
            </w:r>
          </w:p>
        </w:tc>
        <w:tc>
          <w:tcPr>
            <w:tcW w:w="2268" w:type="dxa"/>
            <w:vAlign w:val="center"/>
          </w:tcPr>
          <w:p>
            <w:pPr>
              <w:pStyle w:val="30"/>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代表满意度</w:t>
            </w:r>
          </w:p>
        </w:tc>
        <w:tc>
          <w:tcPr>
            <w:tcW w:w="2551" w:type="dxa"/>
            <w:vAlign w:val="center"/>
          </w:tcPr>
          <w:p>
            <w:pPr>
              <w:pStyle w:val="30"/>
            </w:pPr>
            <w:r>
              <w:t>≥95</w:t>
            </w:r>
          </w:p>
        </w:tc>
        <w:tc>
          <w:tcPr>
            <w:tcW w:w="2268" w:type="dxa"/>
            <w:vAlign w:val="center"/>
          </w:tcPr>
          <w:p>
            <w:pPr>
              <w:pStyle w:val="30"/>
            </w:pPr>
            <w:r>
              <w:t>工作要求</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5、2022年度业务费项目绩效目标表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印刷材料数量</w:t>
            </w:r>
          </w:p>
        </w:tc>
        <w:tc>
          <w:tcPr>
            <w:tcW w:w="2835" w:type="dxa"/>
            <w:vAlign w:val="center"/>
          </w:tcPr>
          <w:p>
            <w:pPr>
              <w:pStyle w:val="30"/>
            </w:pPr>
            <w:r>
              <w:t>印刷会议资料、宣传材料数量</w:t>
            </w:r>
          </w:p>
        </w:tc>
        <w:tc>
          <w:tcPr>
            <w:tcW w:w="2551" w:type="dxa"/>
            <w:vAlign w:val="center"/>
          </w:tcPr>
          <w:p>
            <w:pPr>
              <w:pStyle w:val="30"/>
            </w:pPr>
            <w:r>
              <w:t>≥10000份</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购置（维修、更新）设备数量</w:t>
            </w:r>
          </w:p>
        </w:tc>
        <w:tc>
          <w:tcPr>
            <w:tcW w:w="2835" w:type="dxa"/>
            <w:vAlign w:val="center"/>
          </w:tcPr>
          <w:p>
            <w:pPr>
              <w:pStyle w:val="30"/>
            </w:pPr>
            <w:r>
              <w:t>购置（维修、更新）设备数量完成情况</w:t>
            </w:r>
          </w:p>
        </w:tc>
        <w:tc>
          <w:tcPr>
            <w:tcW w:w="2551" w:type="dxa"/>
            <w:vAlign w:val="center"/>
          </w:tcPr>
          <w:p>
            <w:pPr>
              <w:pStyle w:val="30"/>
            </w:pPr>
            <w:r>
              <w:t>≥1台</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设备安装完成率</w:t>
            </w:r>
          </w:p>
        </w:tc>
        <w:tc>
          <w:tcPr>
            <w:tcW w:w="2835" w:type="dxa"/>
            <w:vAlign w:val="center"/>
          </w:tcPr>
          <w:p>
            <w:pPr>
              <w:pStyle w:val="30"/>
            </w:pPr>
            <w:r>
              <w:t>需要安装的设备安装进度</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租赁汽车次数</w:t>
            </w:r>
          </w:p>
        </w:tc>
        <w:tc>
          <w:tcPr>
            <w:tcW w:w="2835" w:type="dxa"/>
            <w:vAlign w:val="center"/>
          </w:tcPr>
          <w:p>
            <w:pPr>
              <w:pStyle w:val="30"/>
            </w:pPr>
            <w:r>
              <w:t>视察、调查、执法检查、调研等活动租赁汽车次数</w:t>
            </w:r>
          </w:p>
        </w:tc>
        <w:tc>
          <w:tcPr>
            <w:tcW w:w="2551" w:type="dxa"/>
            <w:vAlign w:val="center"/>
          </w:tcPr>
          <w:p>
            <w:pPr>
              <w:pStyle w:val="30"/>
            </w:pPr>
            <w:r>
              <w:t>≥20次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租赁汽车数量</w:t>
            </w:r>
          </w:p>
        </w:tc>
        <w:tc>
          <w:tcPr>
            <w:tcW w:w="2835" w:type="dxa"/>
            <w:vAlign w:val="center"/>
          </w:tcPr>
          <w:p>
            <w:pPr>
              <w:pStyle w:val="30"/>
            </w:pPr>
            <w:r>
              <w:t>视察、调查、执法检查、调研等活动租赁汽车量数</w:t>
            </w:r>
          </w:p>
        </w:tc>
        <w:tc>
          <w:tcPr>
            <w:tcW w:w="2551" w:type="dxa"/>
            <w:vAlign w:val="center"/>
          </w:tcPr>
          <w:p>
            <w:pPr>
              <w:pStyle w:val="30"/>
            </w:pPr>
            <w:r>
              <w:t>≥20量</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印刷清晰度</w:t>
            </w:r>
          </w:p>
        </w:tc>
        <w:tc>
          <w:tcPr>
            <w:tcW w:w="2835" w:type="dxa"/>
            <w:vAlign w:val="center"/>
          </w:tcPr>
          <w:p>
            <w:pPr>
              <w:pStyle w:val="30"/>
            </w:pPr>
            <w:r>
              <w:t>反映书籍（报刊、杂志）的印刷是否清晰</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设备购置（维修、更新）质量情况</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工程验收合格率</w:t>
            </w:r>
          </w:p>
        </w:tc>
        <w:tc>
          <w:tcPr>
            <w:tcW w:w="2835" w:type="dxa"/>
            <w:vAlign w:val="center"/>
          </w:tcPr>
          <w:p>
            <w:pPr>
              <w:pStyle w:val="30"/>
            </w:pPr>
            <w:r>
              <w:t>安装工程质量情况</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印刷及时性</w:t>
            </w:r>
          </w:p>
        </w:tc>
        <w:tc>
          <w:tcPr>
            <w:tcW w:w="2835" w:type="dxa"/>
            <w:vAlign w:val="center"/>
          </w:tcPr>
          <w:p>
            <w:pPr>
              <w:pStyle w:val="30"/>
            </w:pPr>
            <w:r>
              <w:t>反映材料印刷是否及时，是否在规定时间内完成</w:t>
            </w:r>
          </w:p>
        </w:tc>
        <w:tc>
          <w:tcPr>
            <w:tcW w:w="2551"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设备购置及时性</w:t>
            </w:r>
          </w:p>
        </w:tc>
        <w:tc>
          <w:tcPr>
            <w:tcW w:w="2835" w:type="dxa"/>
            <w:vAlign w:val="center"/>
          </w:tcPr>
          <w:p>
            <w:pPr>
              <w:pStyle w:val="30"/>
            </w:pPr>
            <w:r>
              <w:t>反映设备按时采购情况</w:t>
            </w:r>
          </w:p>
        </w:tc>
        <w:tc>
          <w:tcPr>
            <w:tcW w:w="2551"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设备安装及时性</w:t>
            </w:r>
          </w:p>
        </w:tc>
        <w:tc>
          <w:tcPr>
            <w:tcW w:w="2835" w:type="dxa"/>
            <w:vAlign w:val="center"/>
          </w:tcPr>
          <w:p>
            <w:pPr>
              <w:pStyle w:val="30"/>
            </w:pPr>
            <w:r>
              <w:t>反映设备按时安装情况</w:t>
            </w:r>
          </w:p>
        </w:tc>
        <w:tc>
          <w:tcPr>
            <w:tcW w:w="2551"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租赁汽车及时性</w:t>
            </w:r>
          </w:p>
        </w:tc>
        <w:tc>
          <w:tcPr>
            <w:tcW w:w="2835" w:type="dxa"/>
            <w:vAlign w:val="center"/>
          </w:tcPr>
          <w:p>
            <w:pPr>
              <w:pStyle w:val="30"/>
            </w:pPr>
            <w:r>
              <w:t>按照工作需要及时租赁汽车，保证工作运转</w:t>
            </w:r>
          </w:p>
        </w:tc>
        <w:tc>
          <w:tcPr>
            <w:tcW w:w="2551"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成本控制率</w:t>
            </w:r>
          </w:p>
        </w:tc>
        <w:tc>
          <w:tcPr>
            <w:tcW w:w="2835" w:type="dxa"/>
            <w:vAlign w:val="center"/>
          </w:tcPr>
          <w:p>
            <w:pPr>
              <w:pStyle w:val="30"/>
            </w:pPr>
            <w:r>
              <w:t>实际支出数/预算下达数*100%</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设备购置成本</w:t>
            </w:r>
          </w:p>
        </w:tc>
        <w:tc>
          <w:tcPr>
            <w:tcW w:w="2835" w:type="dxa"/>
            <w:vAlign w:val="center"/>
          </w:tcPr>
          <w:p>
            <w:pPr>
              <w:pStyle w:val="30"/>
            </w:pPr>
            <w:r>
              <w:t>每台/套/辆设备购置成本</w:t>
            </w:r>
          </w:p>
        </w:tc>
        <w:tc>
          <w:tcPr>
            <w:tcW w:w="2551" w:type="dxa"/>
            <w:vAlign w:val="center"/>
          </w:tcPr>
          <w:p>
            <w:pPr>
              <w:pStyle w:val="30"/>
            </w:pPr>
            <w:r>
              <w:t>≤15万元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设备安装成本</w:t>
            </w:r>
          </w:p>
        </w:tc>
        <w:tc>
          <w:tcPr>
            <w:tcW w:w="2835" w:type="dxa"/>
            <w:vAlign w:val="center"/>
          </w:tcPr>
          <w:p>
            <w:pPr>
              <w:pStyle w:val="30"/>
            </w:pPr>
            <w:r>
              <w:t>每台设备安装成本</w:t>
            </w:r>
          </w:p>
        </w:tc>
        <w:tc>
          <w:tcPr>
            <w:tcW w:w="2551" w:type="dxa"/>
            <w:vAlign w:val="center"/>
          </w:tcPr>
          <w:p>
            <w:pPr>
              <w:pStyle w:val="30"/>
            </w:pPr>
            <w:r>
              <w:t>≤15万元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租赁汽车成本</w:t>
            </w:r>
          </w:p>
        </w:tc>
        <w:tc>
          <w:tcPr>
            <w:tcW w:w="2835" w:type="dxa"/>
            <w:vAlign w:val="center"/>
          </w:tcPr>
          <w:p>
            <w:pPr>
              <w:pStyle w:val="30"/>
            </w:pPr>
            <w:r>
              <w:t xml:space="preserve">租赁汽车每台次成本          </w:t>
            </w:r>
          </w:p>
        </w:tc>
        <w:tc>
          <w:tcPr>
            <w:tcW w:w="2551" w:type="dxa"/>
            <w:vAlign w:val="center"/>
          </w:tcPr>
          <w:p>
            <w:pPr>
              <w:pStyle w:val="30"/>
            </w:pPr>
            <w:r>
              <w:t>≤1万元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传播人大工作</w:t>
            </w:r>
          </w:p>
        </w:tc>
        <w:tc>
          <w:tcPr>
            <w:tcW w:w="2835" w:type="dxa"/>
            <w:vAlign w:val="center"/>
          </w:tcPr>
          <w:p>
            <w:pPr>
              <w:pStyle w:val="30"/>
            </w:pPr>
            <w:r>
              <w:t>传播推广人大工作先进经验，推广代表工作方法</w:t>
            </w:r>
          </w:p>
        </w:tc>
        <w:tc>
          <w:tcPr>
            <w:tcW w:w="2551" w:type="dxa"/>
            <w:vAlign w:val="center"/>
          </w:tcPr>
          <w:p>
            <w:pPr>
              <w:pStyle w:val="30"/>
            </w:pPr>
            <w:r>
              <w:t>推动</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保障人大工作正常开展</w:t>
            </w:r>
          </w:p>
        </w:tc>
        <w:tc>
          <w:tcPr>
            <w:tcW w:w="2835" w:type="dxa"/>
            <w:vAlign w:val="center"/>
          </w:tcPr>
          <w:p>
            <w:pPr>
              <w:pStyle w:val="30"/>
            </w:pPr>
            <w:r>
              <w:t>通过印刷宣传材料、课件、报告、审议意见等，保障人大工作的正常开展</w:t>
            </w:r>
          </w:p>
        </w:tc>
        <w:tc>
          <w:tcPr>
            <w:tcW w:w="2551" w:type="dxa"/>
            <w:vAlign w:val="center"/>
          </w:tcPr>
          <w:p>
            <w:pPr>
              <w:pStyle w:val="30"/>
            </w:pPr>
            <w:r>
              <w:t>保障</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提升工作效率</w:t>
            </w:r>
          </w:p>
        </w:tc>
        <w:tc>
          <w:tcPr>
            <w:tcW w:w="2835" w:type="dxa"/>
            <w:vAlign w:val="center"/>
          </w:tcPr>
          <w:p>
            <w:pPr>
              <w:pStyle w:val="30"/>
            </w:pPr>
            <w:r>
              <w:t>设备购置对工作效率带来的提升</w:t>
            </w:r>
          </w:p>
        </w:tc>
        <w:tc>
          <w:tcPr>
            <w:tcW w:w="2551" w:type="dxa"/>
            <w:vAlign w:val="center"/>
          </w:tcPr>
          <w:p>
            <w:pPr>
              <w:pStyle w:val="30"/>
            </w:pPr>
            <w:r>
              <w:t>提升</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设备利用率</w:t>
            </w:r>
          </w:p>
        </w:tc>
        <w:tc>
          <w:tcPr>
            <w:tcW w:w="2835" w:type="dxa"/>
            <w:vAlign w:val="center"/>
          </w:tcPr>
          <w:p>
            <w:pPr>
              <w:pStyle w:val="30"/>
            </w:pPr>
            <w:r>
              <w:t>设备购入后的使用成效</w:t>
            </w:r>
          </w:p>
        </w:tc>
        <w:tc>
          <w:tcPr>
            <w:tcW w:w="2551" w:type="dxa"/>
            <w:vAlign w:val="center"/>
          </w:tcPr>
          <w:p>
            <w:pPr>
              <w:pStyle w:val="30"/>
            </w:pPr>
            <w:r>
              <w:t>≥100%</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提高服务水平</w:t>
            </w:r>
          </w:p>
        </w:tc>
        <w:tc>
          <w:tcPr>
            <w:tcW w:w="2835" w:type="dxa"/>
            <w:vAlign w:val="center"/>
          </w:tcPr>
          <w:p>
            <w:pPr>
              <w:pStyle w:val="30"/>
            </w:pPr>
            <w:r>
              <w:t>考察该设备是否可以有效提高服务水平</w:t>
            </w:r>
          </w:p>
        </w:tc>
        <w:tc>
          <w:tcPr>
            <w:tcW w:w="2551" w:type="dxa"/>
            <w:vAlign w:val="center"/>
          </w:tcPr>
          <w:p>
            <w:pPr>
              <w:pStyle w:val="30"/>
            </w:pPr>
            <w:r>
              <w:t>提高</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满足工作需求</w:t>
            </w:r>
          </w:p>
        </w:tc>
        <w:tc>
          <w:tcPr>
            <w:tcW w:w="2835" w:type="dxa"/>
            <w:vAlign w:val="center"/>
          </w:tcPr>
          <w:p>
            <w:pPr>
              <w:pStyle w:val="30"/>
            </w:pPr>
            <w:r>
              <w:t>按时、保质保量的完成视察、调查、执法检查、调研等项工作，为后勤服务提供保障。</w:t>
            </w:r>
          </w:p>
        </w:tc>
        <w:tc>
          <w:tcPr>
            <w:tcW w:w="2551" w:type="dxa"/>
            <w:vAlign w:val="center"/>
          </w:tcPr>
          <w:p>
            <w:pPr>
              <w:pStyle w:val="30"/>
            </w:pPr>
            <w:r>
              <w:t>满足</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节能环保</w:t>
            </w:r>
          </w:p>
        </w:tc>
        <w:tc>
          <w:tcPr>
            <w:tcW w:w="2835" w:type="dxa"/>
            <w:vAlign w:val="center"/>
          </w:tcPr>
          <w:p>
            <w:pPr>
              <w:pStyle w:val="30"/>
            </w:pPr>
            <w:r>
              <w:t>购买节能环保的设备，设备安装对环境无影响</w:t>
            </w:r>
          </w:p>
        </w:tc>
        <w:tc>
          <w:tcPr>
            <w:tcW w:w="2551" w:type="dxa"/>
            <w:vAlign w:val="center"/>
          </w:tcPr>
          <w:p>
            <w:pPr>
              <w:pStyle w:val="30"/>
            </w:pPr>
            <w:r>
              <w:t>节约</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设备后期管养</w:t>
            </w:r>
          </w:p>
        </w:tc>
        <w:tc>
          <w:tcPr>
            <w:tcW w:w="2835" w:type="dxa"/>
            <w:vAlign w:val="center"/>
          </w:tcPr>
          <w:p>
            <w:pPr>
              <w:pStyle w:val="30"/>
            </w:pPr>
            <w:r>
              <w:t>设备的后续管理养护计划是否完备，是否有责任人或制度等。</w:t>
            </w:r>
          </w:p>
        </w:tc>
        <w:tc>
          <w:tcPr>
            <w:tcW w:w="2551" w:type="dxa"/>
            <w:vAlign w:val="center"/>
          </w:tcPr>
          <w:p>
            <w:pPr>
              <w:pStyle w:val="30"/>
            </w:pPr>
            <w:r>
              <w:t>有计划</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设备使用年限</w:t>
            </w:r>
          </w:p>
        </w:tc>
        <w:tc>
          <w:tcPr>
            <w:tcW w:w="2835" w:type="dxa"/>
            <w:vAlign w:val="center"/>
          </w:tcPr>
          <w:p>
            <w:pPr>
              <w:pStyle w:val="30"/>
            </w:pPr>
            <w:r>
              <w:t>设备使用年限达到预期标准</w:t>
            </w:r>
          </w:p>
        </w:tc>
        <w:tc>
          <w:tcPr>
            <w:tcW w:w="2551" w:type="dxa"/>
            <w:vAlign w:val="center"/>
          </w:tcPr>
          <w:p>
            <w:pPr>
              <w:pStyle w:val="30"/>
            </w:pPr>
            <w:r>
              <w:t>≥6年</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长期稳定服务</w:t>
            </w:r>
          </w:p>
        </w:tc>
        <w:tc>
          <w:tcPr>
            <w:tcW w:w="2835" w:type="dxa"/>
            <w:vAlign w:val="center"/>
          </w:tcPr>
          <w:p>
            <w:pPr>
              <w:pStyle w:val="30"/>
            </w:pPr>
            <w:r>
              <w:t>所购置设备能够长期稳定保障机关工作顺利进行，保障人大常委会工作正常运转。</w:t>
            </w:r>
          </w:p>
        </w:tc>
        <w:tc>
          <w:tcPr>
            <w:tcW w:w="2551" w:type="dxa"/>
            <w:vAlign w:val="center"/>
          </w:tcPr>
          <w:p>
            <w:pPr>
              <w:pStyle w:val="30"/>
            </w:pPr>
            <w:r>
              <w:t>长期</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服务对象满意度</w:t>
            </w:r>
          </w:p>
        </w:tc>
        <w:tc>
          <w:tcPr>
            <w:tcW w:w="2835" w:type="dxa"/>
            <w:vAlign w:val="center"/>
          </w:tcPr>
          <w:p>
            <w:pPr>
              <w:pStyle w:val="30"/>
            </w:pPr>
            <w:r>
              <w:t>设备使用人员满意情况</w:t>
            </w:r>
          </w:p>
        </w:tc>
        <w:tc>
          <w:tcPr>
            <w:tcW w:w="2551" w:type="dxa"/>
            <w:vAlign w:val="center"/>
          </w:tcPr>
          <w:p>
            <w:pPr>
              <w:pStyle w:val="30"/>
            </w:pPr>
            <w:r>
              <w:t>≥95%</w:t>
            </w:r>
          </w:p>
        </w:tc>
        <w:tc>
          <w:tcPr>
            <w:tcW w:w="2268" w:type="dxa"/>
            <w:vAlign w:val="center"/>
          </w:tcPr>
          <w:p>
            <w:pPr>
              <w:pStyle w:val="30"/>
            </w:pPr>
            <w:r>
              <w:t>年初工作安排</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6、2022年度招待费项目绩效目标表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接待人次</w:t>
            </w:r>
          </w:p>
        </w:tc>
        <w:tc>
          <w:tcPr>
            <w:tcW w:w="2835" w:type="dxa"/>
            <w:vAlign w:val="center"/>
          </w:tcPr>
          <w:p>
            <w:pPr>
              <w:pStyle w:val="30"/>
            </w:pPr>
            <w:r>
              <w:t>实际招待/接待人次</w:t>
            </w:r>
          </w:p>
        </w:tc>
        <w:tc>
          <w:tcPr>
            <w:tcW w:w="2551" w:type="dxa"/>
            <w:vAlign w:val="center"/>
          </w:tcPr>
          <w:p>
            <w:pPr>
              <w:pStyle w:val="30"/>
            </w:pPr>
            <w:r>
              <w:t>≥50人次</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接待天数</w:t>
            </w:r>
          </w:p>
        </w:tc>
        <w:tc>
          <w:tcPr>
            <w:tcW w:w="2835" w:type="dxa"/>
            <w:vAlign w:val="center"/>
          </w:tcPr>
          <w:p>
            <w:pPr>
              <w:pStyle w:val="30"/>
            </w:pPr>
            <w:r>
              <w:t>实际/招待接待天数</w:t>
            </w:r>
          </w:p>
        </w:tc>
        <w:tc>
          <w:tcPr>
            <w:tcW w:w="2551" w:type="dxa"/>
            <w:vAlign w:val="center"/>
          </w:tcPr>
          <w:p>
            <w:pPr>
              <w:pStyle w:val="30"/>
            </w:pPr>
            <w:r>
              <w:t>≥5天</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接待经费使用合规性</w:t>
            </w:r>
          </w:p>
        </w:tc>
        <w:tc>
          <w:tcPr>
            <w:tcW w:w="2835" w:type="dxa"/>
            <w:vAlign w:val="center"/>
          </w:tcPr>
          <w:p>
            <w:pPr>
              <w:pStyle w:val="30"/>
            </w:pPr>
            <w:r>
              <w:t>招待经费专款专用，按照相关资金使用办法合理合规支出</w:t>
            </w:r>
          </w:p>
        </w:tc>
        <w:tc>
          <w:tcPr>
            <w:tcW w:w="2551" w:type="dxa"/>
            <w:vAlign w:val="center"/>
          </w:tcPr>
          <w:p>
            <w:pPr>
              <w:pStyle w:val="30"/>
            </w:pPr>
            <w:r>
              <w:t>合规</w:t>
            </w:r>
            <w:r>
              <w:tab/>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接待规模达标率</w:t>
            </w:r>
          </w:p>
        </w:tc>
        <w:tc>
          <w:tcPr>
            <w:tcW w:w="2835" w:type="dxa"/>
            <w:vAlign w:val="center"/>
          </w:tcPr>
          <w:p>
            <w:pPr>
              <w:pStyle w:val="30"/>
            </w:pPr>
            <w:r>
              <w:t>接待服务的等级达到相关的标准</w:t>
            </w:r>
          </w:p>
        </w:tc>
        <w:tc>
          <w:tcPr>
            <w:tcW w:w="2551" w:type="dxa"/>
            <w:vAlign w:val="center"/>
          </w:tcPr>
          <w:p>
            <w:pPr>
              <w:pStyle w:val="30"/>
            </w:pPr>
            <w:r>
              <w:t>≥100%</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招待及时率</w:t>
            </w:r>
          </w:p>
        </w:tc>
        <w:tc>
          <w:tcPr>
            <w:tcW w:w="2835" w:type="dxa"/>
            <w:vAlign w:val="center"/>
          </w:tcPr>
          <w:p>
            <w:pPr>
              <w:pStyle w:val="30"/>
            </w:pPr>
            <w:r>
              <w:t>组织招待服务工作及时，满足服务对象的需求</w:t>
            </w:r>
          </w:p>
        </w:tc>
        <w:tc>
          <w:tcPr>
            <w:tcW w:w="2551" w:type="dxa"/>
            <w:vAlign w:val="center"/>
          </w:tcPr>
          <w:p>
            <w:pPr>
              <w:pStyle w:val="30"/>
            </w:pPr>
            <w:r>
              <w:t>≥100%</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接待成本控制率</w:t>
            </w:r>
          </w:p>
        </w:tc>
        <w:tc>
          <w:tcPr>
            <w:tcW w:w="2835" w:type="dxa"/>
            <w:vAlign w:val="center"/>
          </w:tcPr>
          <w:p>
            <w:pPr>
              <w:pStyle w:val="30"/>
            </w:pPr>
            <w:r>
              <w:t>成本控制率=实际支出金额/预算下达数*100%</w:t>
            </w:r>
          </w:p>
        </w:tc>
        <w:tc>
          <w:tcPr>
            <w:tcW w:w="2551" w:type="dxa"/>
            <w:vAlign w:val="center"/>
          </w:tcPr>
          <w:p>
            <w:pPr>
              <w:pStyle w:val="30"/>
            </w:pPr>
            <w:r>
              <w:t>≤100%</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招待费人均标准</w:t>
            </w:r>
          </w:p>
        </w:tc>
        <w:tc>
          <w:tcPr>
            <w:tcW w:w="2835" w:type="dxa"/>
            <w:vAlign w:val="center"/>
          </w:tcPr>
          <w:p>
            <w:pPr>
              <w:pStyle w:val="30"/>
            </w:pPr>
            <w:r>
              <w:t>招待费用人均标准</w:t>
            </w:r>
          </w:p>
        </w:tc>
        <w:tc>
          <w:tcPr>
            <w:tcW w:w="2551" w:type="dxa"/>
            <w:vAlign w:val="center"/>
          </w:tcPr>
          <w:p>
            <w:pPr>
              <w:pStyle w:val="30"/>
            </w:pPr>
            <w:r>
              <w:t>≤80元</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提高接待服务质量</w:t>
            </w:r>
          </w:p>
        </w:tc>
        <w:tc>
          <w:tcPr>
            <w:tcW w:w="2835" w:type="dxa"/>
            <w:vAlign w:val="center"/>
          </w:tcPr>
          <w:p>
            <w:pPr>
              <w:pStyle w:val="30"/>
            </w:pPr>
            <w:r>
              <w:t>提高服务质量，满足接待人员各项生活工作需求</w:t>
            </w:r>
          </w:p>
        </w:tc>
        <w:tc>
          <w:tcPr>
            <w:tcW w:w="2551" w:type="dxa"/>
            <w:vAlign w:val="center"/>
          </w:tcPr>
          <w:p>
            <w:pPr>
              <w:pStyle w:val="30"/>
            </w:pPr>
            <w:r>
              <w:t>提高</w:t>
            </w:r>
          </w:p>
          <w:p>
            <w:pPr>
              <w:pStyle w:val="30"/>
            </w:pPr>
          </w:p>
          <w:p>
            <w:pPr>
              <w:pStyle w:val="30"/>
            </w:pPr>
          </w:p>
          <w:p>
            <w:pPr>
              <w:pStyle w:val="30"/>
            </w:pP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保障工作正常开展</w:t>
            </w:r>
          </w:p>
        </w:tc>
        <w:tc>
          <w:tcPr>
            <w:tcW w:w="2835" w:type="dxa"/>
            <w:vAlign w:val="center"/>
          </w:tcPr>
          <w:p>
            <w:pPr>
              <w:pStyle w:val="30"/>
            </w:pPr>
            <w:r>
              <w:t>保障接待人员来承顺利开展各项工作</w:t>
            </w:r>
          </w:p>
        </w:tc>
        <w:tc>
          <w:tcPr>
            <w:tcW w:w="2551" w:type="dxa"/>
            <w:vAlign w:val="center"/>
          </w:tcPr>
          <w:p>
            <w:pPr>
              <w:pStyle w:val="30"/>
            </w:pPr>
            <w:r>
              <w:t>保障</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835" w:type="dxa"/>
            <w:vAlign w:val="center"/>
          </w:tcPr>
          <w:p>
            <w:pPr>
              <w:pStyle w:val="30"/>
            </w:pPr>
            <w:r>
              <w:t>弘扬承德好客文化</w:t>
            </w:r>
          </w:p>
        </w:tc>
        <w:tc>
          <w:tcPr>
            <w:tcW w:w="2835" w:type="dxa"/>
            <w:vAlign w:val="center"/>
          </w:tcPr>
          <w:p>
            <w:pPr>
              <w:pStyle w:val="30"/>
            </w:pPr>
            <w:r>
              <w:t>对来访人员提供高质量的接待，给人宾至如归的感觉，可以很好地传播和弘扬我市好客文化</w:t>
            </w:r>
          </w:p>
        </w:tc>
        <w:tc>
          <w:tcPr>
            <w:tcW w:w="2551" w:type="dxa"/>
            <w:vAlign w:val="center"/>
          </w:tcPr>
          <w:p>
            <w:pPr>
              <w:pStyle w:val="30"/>
            </w:pPr>
            <w:r>
              <w:t>弘扬文化</w:t>
            </w:r>
          </w:p>
        </w:tc>
        <w:tc>
          <w:tcPr>
            <w:tcW w:w="2268" w:type="dxa"/>
            <w:vAlign w:val="center"/>
          </w:tcPr>
          <w:p>
            <w:pPr>
              <w:pStyle w:val="30"/>
            </w:pPr>
            <w:r>
              <w:t xml:space="preserve">接待费管理办法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招待对象满意度</w:t>
            </w:r>
          </w:p>
        </w:tc>
        <w:tc>
          <w:tcPr>
            <w:tcW w:w="2835" w:type="dxa"/>
            <w:vAlign w:val="center"/>
          </w:tcPr>
          <w:p>
            <w:pPr>
              <w:pStyle w:val="30"/>
            </w:pPr>
            <w:r>
              <w:t>招待对象对服务情况的满意程度</w:t>
            </w:r>
          </w:p>
        </w:tc>
        <w:tc>
          <w:tcPr>
            <w:tcW w:w="2551" w:type="dxa"/>
            <w:vAlign w:val="center"/>
          </w:tcPr>
          <w:p>
            <w:pPr>
              <w:pStyle w:val="30"/>
            </w:pPr>
            <w:r>
              <w:t>≥100%</w:t>
            </w:r>
          </w:p>
        </w:tc>
        <w:tc>
          <w:tcPr>
            <w:tcW w:w="2268" w:type="dxa"/>
            <w:vAlign w:val="center"/>
          </w:tcPr>
          <w:p>
            <w:pPr>
              <w:pStyle w:val="30"/>
            </w:pPr>
            <w:r>
              <w:t xml:space="preserve">接待费管理办法 </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7、2022年度执法检查费项目绩效目标表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098"/>
        <w:gridCol w:w="4961"/>
        <w:gridCol w:w="1162"/>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098" w:type="dxa"/>
            <w:vAlign w:val="center"/>
          </w:tcPr>
          <w:p>
            <w:pPr>
              <w:pStyle w:val="29"/>
            </w:pPr>
            <w:r>
              <w:t>三级指标</w:t>
            </w:r>
          </w:p>
        </w:tc>
        <w:tc>
          <w:tcPr>
            <w:tcW w:w="4961" w:type="dxa"/>
            <w:vAlign w:val="center"/>
          </w:tcPr>
          <w:p>
            <w:pPr>
              <w:pStyle w:val="29"/>
            </w:pPr>
            <w:r>
              <w:t>绩效指标描述</w:t>
            </w:r>
          </w:p>
        </w:tc>
        <w:tc>
          <w:tcPr>
            <w:tcW w:w="1162"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098" w:type="dxa"/>
            <w:vAlign w:val="center"/>
          </w:tcPr>
          <w:p>
            <w:pPr>
              <w:pStyle w:val="30"/>
            </w:pPr>
            <w:r>
              <w:t>组织视察次数</w:t>
            </w:r>
          </w:p>
        </w:tc>
        <w:tc>
          <w:tcPr>
            <w:tcW w:w="4961" w:type="dxa"/>
            <w:vAlign w:val="center"/>
          </w:tcPr>
          <w:p>
            <w:pPr>
              <w:pStyle w:val="30"/>
            </w:pPr>
            <w:r>
              <w:t>组织视察次数</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098" w:type="dxa"/>
            <w:vAlign w:val="center"/>
          </w:tcPr>
          <w:p>
            <w:pPr>
              <w:pStyle w:val="30"/>
            </w:pPr>
            <w:r>
              <w:t>组织执法检查次数</w:t>
            </w:r>
          </w:p>
        </w:tc>
        <w:tc>
          <w:tcPr>
            <w:tcW w:w="4961" w:type="dxa"/>
            <w:vAlign w:val="center"/>
          </w:tcPr>
          <w:p>
            <w:pPr>
              <w:pStyle w:val="30"/>
            </w:pPr>
            <w:r>
              <w:t>组织执法检查次数</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098" w:type="dxa"/>
            <w:vAlign w:val="center"/>
          </w:tcPr>
          <w:p>
            <w:pPr>
              <w:pStyle w:val="30"/>
            </w:pPr>
            <w:r>
              <w:t>组织专题调研次数</w:t>
            </w:r>
          </w:p>
        </w:tc>
        <w:tc>
          <w:tcPr>
            <w:tcW w:w="4961" w:type="dxa"/>
            <w:vAlign w:val="center"/>
          </w:tcPr>
          <w:p>
            <w:pPr>
              <w:pStyle w:val="30"/>
            </w:pPr>
            <w:r>
              <w:t>组织专题调研次数</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098" w:type="dxa"/>
            <w:vAlign w:val="center"/>
          </w:tcPr>
          <w:p>
            <w:pPr>
              <w:pStyle w:val="30"/>
            </w:pPr>
            <w:r>
              <w:t>参加活动人数</w:t>
            </w:r>
          </w:p>
        </w:tc>
        <w:tc>
          <w:tcPr>
            <w:tcW w:w="4961" w:type="dxa"/>
            <w:vAlign w:val="center"/>
          </w:tcPr>
          <w:p>
            <w:pPr>
              <w:pStyle w:val="30"/>
            </w:pPr>
            <w:r>
              <w:t>参加活动人数</w:t>
            </w:r>
          </w:p>
        </w:tc>
        <w:tc>
          <w:tcPr>
            <w:tcW w:w="1162" w:type="dxa"/>
            <w:vAlign w:val="center"/>
          </w:tcPr>
          <w:p>
            <w:pPr>
              <w:pStyle w:val="30"/>
            </w:pPr>
            <w:r>
              <w:t>≥20人</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098" w:type="dxa"/>
            <w:vAlign w:val="center"/>
          </w:tcPr>
          <w:p>
            <w:pPr>
              <w:pStyle w:val="30"/>
            </w:pPr>
            <w:r>
              <w:t>各县区覆盖率</w:t>
            </w:r>
          </w:p>
        </w:tc>
        <w:tc>
          <w:tcPr>
            <w:tcW w:w="4961" w:type="dxa"/>
            <w:vAlign w:val="center"/>
          </w:tcPr>
          <w:p>
            <w:pPr>
              <w:pStyle w:val="30"/>
            </w:pPr>
            <w:r>
              <w:t>各县区覆盖率</w:t>
            </w:r>
          </w:p>
        </w:tc>
        <w:tc>
          <w:tcPr>
            <w:tcW w:w="1162" w:type="dxa"/>
            <w:vAlign w:val="center"/>
          </w:tcPr>
          <w:p>
            <w:pPr>
              <w:pStyle w:val="30"/>
            </w:pPr>
            <w:r>
              <w:t>≥90元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098" w:type="dxa"/>
            <w:vAlign w:val="center"/>
          </w:tcPr>
          <w:p>
            <w:pPr>
              <w:pStyle w:val="30"/>
            </w:pPr>
            <w:r>
              <w:t>形成审议意见</w:t>
            </w:r>
          </w:p>
        </w:tc>
        <w:tc>
          <w:tcPr>
            <w:tcW w:w="4961" w:type="dxa"/>
            <w:vAlign w:val="center"/>
          </w:tcPr>
          <w:p>
            <w:pPr>
              <w:pStyle w:val="30"/>
            </w:pPr>
            <w:r>
              <w:t>形成审议意见</w:t>
            </w:r>
          </w:p>
        </w:tc>
        <w:tc>
          <w:tcPr>
            <w:tcW w:w="1162" w:type="dxa"/>
            <w:vAlign w:val="center"/>
          </w:tcPr>
          <w:p>
            <w:pPr>
              <w:pStyle w:val="30"/>
            </w:pPr>
            <w:r>
              <w:t>≥1份</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098" w:type="dxa"/>
            <w:vAlign w:val="center"/>
          </w:tcPr>
          <w:p>
            <w:pPr>
              <w:pStyle w:val="30"/>
            </w:pPr>
            <w:r>
              <w:t>形成调研报告</w:t>
            </w:r>
          </w:p>
        </w:tc>
        <w:tc>
          <w:tcPr>
            <w:tcW w:w="4961" w:type="dxa"/>
            <w:vAlign w:val="center"/>
          </w:tcPr>
          <w:p>
            <w:pPr>
              <w:pStyle w:val="30"/>
            </w:pPr>
            <w:r>
              <w:t>形成调研报告</w:t>
            </w:r>
          </w:p>
        </w:tc>
        <w:tc>
          <w:tcPr>
            <w:tcW w:w="1162" w:type="dxa"/>
            <w:vAlign w:val="center"/>
          </w:tcPr>
          <w:p>
            <w:pPr>
              <w:pStyle w:val="30"/>
            </w:pPr>
            <w:r>
              <w:t>≥1份</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098" w:type="dxa"/>
            <w:vAlign w:val="center"/>
          </w:tcPr>
          <w:p>
            <w:pPr>
              <w:pStyle w:val="30"/>
            </w:pPr>
            <w:r>
              <w:t>视察检查及时性</w:t>
            </w:r>
          </w:p>
        </w:tc>
        <w:tc>
          <w:tcPr>
            <w:tcW w:w="4961" w:type="dxa"/>
            <w:vAlign w:val="center"/>
          </w:tcPr>
          <w:p>
            <w:pPr>
              <w:pStyle w:val="30"/>
            </w:pPr>
            <w:r>
              <w:t>视察检查及时性</w:t>
            </w:r>
          </w:p>
        </w:tc>
        <w:tc>
          <w:tcPr>
            <w:tcW w:w="1162"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098" w:type="dxa"/>
            <w:vAlign w:val="center"/>
          </w:tcPr>
          <w:p>
            <w:pPr>
              <w:pStyle w:val="30"/>
            </w:pPr>
            <w:r>
              <w:t>调查研究及时性</w:t>
            </w:r>
          </w:p>
        </w:tc>
        <w:tc>
          <w:tcPr>
            <w:tcW w:w="4961" w:type="dxa"/>
            <w:vAlign w:val="center"/>
          </w:tcPr>
          <w:p>
            <w:pPr>
              <w:pStyle w:val="30"/>
            </w:pPr>
            <w:r>
              <w:t>调查研究及时性</w:t>
            </w:r>
          </w:p>
        </w:tc>
        <w:tc>
          <w:tcPr>
            <w:tcW w:w="1162" w:type="dxa"/>
            <w:vAlign w:val="center"/>
          </w:tcPr>
          <w:p>
            <w:pPr>
              <w:pStyle w:val="30"/>
            </w:pPr>
            <w:r>
              <w:t>及时</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098" w:type="dxa"/>
            <w:vAlign w:val="center"/>
          </w:tcPr>
          <w:p>
            <w:pPr>
              <w:pStyle w:val="30"/>
            </w:pPr>
            <w:r>
              <w:t>报销差旅费标准</w:t>
            </w:r>
          </w:p>
        </w:tc>
        <w:tc>
          <w:tcPr>
            <w:tcW w:w="4961" w:type="dxa"/>
            <w:vAlign w:val="center"/>
          </w:tcPr>
          <w:p>
            <w:pPr>
              <w:pStyle w:val="30"/>
            </w:pPr>
            <w:r>
              <w:t>报销差旅费标准</w:t>
            </w:r>
          </w:p>
        </w:tc>
        <w:tc>
          <w:tcPr>
            <w:tcW w:w="1162" w:type="dxa"/>
            <w:vAlign w:val="center"/>
          </w:tcPr>
          <w:p>
            <w:pPr>
              <w:pStyle w:val="30"/>
            </w:pPr>
            <w:r>
              <w:t>≤90元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098" w:type="dxa"/>
            <w:vAlign w:val="center"/>
          </w:tcPr>
          <w:p>
            <w:pPr>
              <w:pStyle w:val="30"/>
            </w:pPr>
            <w:r>
              <w:t>报销差旅费标准</w:t>
            </w:r>
          </w:p>
        </w:tc>
        <w:tc>
          <w:tcPr>
            <w:tcW w:w="4961" w:type="dxa"/>
            <w:vAlign w:val="center"/>
          </w:tcPr>
          <w:p>
            <w:pPr>
              <w:pStyle w:val="30"/>
            </w:pPr>
            <w:r>
              <w:t>报销差旅费标准</w:t>
            </w:r>
          </w:p>
        </w:tc>
        <w:tc>
          <w:tcPr>
            <w:tcW w:w="1162" w:type="dxa"/>
            <w:vAlign w:val="center"/>
          </w:tcPr>
          <w:p>
            <w:pPr>
              <w:pStyle w:val="30"/>
            </w:pPr>
            <w:r>
              <w:t>≤50元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098" w:type="dxa"/>
            <w:vAlign w:val="center"/>
          </w:tcPr>
          <w:p>
            <w:pPr>
              <w:pStyle w:val="30"/>
            </w:pPr>
            <w:r>
              <w:t>车辆运行维护费</w:t>
            </w:r>
          </w:p>
        </w:tc>
        <w:tc>
          <w:tcPr>
            <w:tcW w:w="4961" w:type="dxa"/>
            <w:vAlign w:val="center"/>
          </w:tcPr>
          <w:p>
            <w:pPr>
              <w:pStyle w:val="30"/>
            </w:pPr>
            <w:r>
              <w:t>车辆运行维护费</w:t>
            </w:r>
          </w:p>
        </w:tc>
        <w:tc>
          <w:tcPr>
            <w:tcW w:w="1162" w:type="dxa"/>
            <w:vAlign w:val="center"/>
          </w:tcPr>
          <w:p>
            <w:pPr>
              <w:pStyle w:val="30"/>
            </w:pPr>
            <w:r>
              <w:t>≤5万元</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098" w:type="dxa"/>
            <w:vAlign w:val="center"/>
          </w:tcPr>
          <w:p>
            <w:pPr>
              <w:pStyle w:val="30"/>
            </w:pPr>
            <w:r>
              <w:t>经济建设方面</w:t>
            </w:r>
          </w:p>
        </w:tc>
        <w:tc>
          <w:tcPr>
            <w:tcW w:w="4961" w:type="dxa"/>
            <w:vAlign w:val="center"/>
          </w:tcPr>
          <w:p>
            <w:pPr>
              <w:pStyle w:val="30"/>
            </w:pPr>
            <w:r>
              <w:t>组织专项经济发展视察，为我市经济发展谏言献策</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社会效益指标</w:t>
            </w:r>
          </w:p>
        </w:tc>
        <w:tc>
          <w:tcPr>
            <w:tcW w:w="2098" w:type="dxa"/>
            <w:vAlign w:val="center"/>
          </w:tcPr>
          <w:p>
            <w:pPr>
              <w:pStyle w:val="30"/>
            </w:pPr>
            <w:r>
              <w:t>社会发展方面</w:t>
            </w:r>
          </w:p>
        </w:tc>
        <w:tc>
          <w:tcPr>
            <w:tcW w:w="4961" w:type="dxa"/>
            <w:vAlign w:val="center"/>
          </w:tcPr>
          <w:p>
            <w:pPr>
              <w:pStyle w:val="30"/>
            </w:pPr>
            <w:r>
              <w:t>组织专项社会发展调研，为创造和谐承德献计献策</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098" w:type="dxa"/>
            <w:vAlign w:val="center"/>
          </w:tcPr>
          <w:p>
            <w:pPr>
              <w:pStyle w:val="30"/>
            </w:pPr>
            <w:r>
              <w:t>生态环境方面</w:t>
            </w:r>
          </w:p>
        </w:tc>
        <w:tc>
          <w:tcPr>
            <w:tcW w:w="4961" w:type="dxa"/>
            <w:vAlign w:val="center"/>
          </w:tcPr>
          <w:p>
            <w:pPr>
              <w:pStyle w:val="30"/>
            </w:pPr>
            <w:r>
              <w:t>组织专项生态执法检查，为绿色承德保驾护航</w:t>
            </w:r>
          </w:p>
        </w:tc>
        <w:tc>
          <w:tcPr>
            <w:tcW w:w="1162" w:type="dxa"/>
            <w:vAlign w:val="center"/>
          </w:tcPr>
          <w:p>
            <w:pPr>
              <w:pStyle w:val="30"/>
            </w:pPr>
            <w:r>
              <w:t>≥1次</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098" w:type="dxa"/>
            <w:vAlign w:val="center"/>
          </w:tcPr>
          <w:p>
            <w:pPr>
              <w:pStyle w:val="30"/>
            </w:pPr>
            <w:r>
              <w:t>形成建议、议案</w:t>
            </w:r>
          </w:p>
        </w:tc>
        <w:tc>
          <w:tcPr>
            <w:tcW w:w="4961" w:type="dxa"/>
            <w:vAlign w:val="center"/>
          </w:tcPr>
          <w:p>
            <w:pPr>
              <w:pStyle w:val="30"/>
            </w:pPr>
            <w:r>
              <w:t>撰写视察、调研、执法检查报告，为我市经济建设、社会发展提供指导意见</w:t>
            </w:r>
          </w:p>
        </w:tc>
        <w:tc>
          <w:tcPr>
            <w:tcW w:w="1162" w:type="dxa"/>
            <w:vAlign w:val="center"/>
          </w:tcPr>
          <w:p>
            <w:pPr>
              <w:pStyle w:val="30"/>
            </w:pPr>
            <w:r>
              <w:t>≥3份</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满意度指标</w:t>
            </w:r>
          </w:p>
        </w:tc>
        <w:tc>
          <w:tcPr>
            <w:tcW w:w="2268" w:type="dxa"/>
            <w:vAlign w:val="center"/>
          </w:tcPr>
          <w:p>
            <w:pPr>
              <w:pStyle w:val="30"/>
            </w:pPr>
            <w:r>
              <w:t>服务对象满意度指标</w:t>
            </w:r>
          </w:p>
        </w:tc>
        <w:tc>
          <w:tcPr>
            <w:tcW w:w="2098" w:type="dxa"/>
            <w:vAlign w:val="center"/>
          </w:tcPr>
          <w:p>
            <w:pPr>
              <w:pStyle w:val="30"/>
            </w:pPr>
            <w:r>
              <w:t>服务对象满意度</w:t>
            </w:r>
          </w:p>
        </w:tc>
        <w:tc>
          <w:tcPr>
            <w:tcW w:w="4961" w:type="dxa"/>
            <w:vAlign w:val="center"/>
          </w:tcPr>
          <w:p>
            <w:pPr>
              <w:pStyle w:val="30"/>
            </w:pPr>
            <w:r>
              <w:t>常委会委员 、人大代表满意度</w:t>
            </w:r>
          </w:p>
        </w:tc>
        <w:tc>
          <w:tcPr>
            <w:tcW w:w="1162" w:type="dxa"/>
            <w:vAlign w:val="center"/>
          </w:tcPr>
          <w:p>
            <w:pPr>
              <w:pStyle w:val="30"/>
            </w:pPr>
            <w:r>
              <w:t>≥95%</w:t>
            </w:r>
          </w:p>
        </w:tc>
        <w:tc>
          <w:tcPr>
            <w:tcW w:w="2268" w:type="dxa"/>
            <w:vAlign w:val="center"/>
          </w:tcPr>
          <w:p>
            <w:pPr>
              <w:pStyle w:val="30"/>
            </w:pPr>
            <w:r>
              <w:t>年初工作安排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服务对象满意度指标</w:t>
            </w:r>
          </w:p>
        </w:tc>
        <w:tc>
          <w:tcPr>
            <w:tcW w:w="2098" w:type="dxa"/>
            <w:vAlign w:val="center"/>
          </w:tcPr>
          <w:p>
            <w:pPr>
              <w:pStyle w:val="30"/>
            </w:pPr>
            <w:r>
              <w:t>服务对象满意度</w:t>
            </w:r>
          </w:p>
        </w:tc>
        <w:tc>
          <w:tcPr>
            <w:tcW w:w="4961" w:type="dxa"/>
            <w:vAlign w:val="center"/>
          </w:tcPr>
          <w:p>
            <w:pPr>
              <w:pStyle w:val="30"/>
            </w:pPr>
            <w:r>
              <w:t>受检单位满意度</w:t>
            </w:r>
          </w:p>
        </w:tc>
        <w:tc>
          <w:tcPr>
            <w:tcW w:w="1162" w:type="dxa"/>
            <w:vAlign w:val="center"/>
          </w:tcPr>
          <w:p>
            <w:pPr>
              <w:pStyle w:val="30"/>
            </w:pPr>
            <w:r>
              <w:t>≥95%</w:t>
            </w:r>
          </w:p>
        </w:tc>
        <w:tc>
          <w:tcPr>
            <w:tcW w:w="2268" w:type="dxa"/>
            <w:vAlign w:val="center"/>
          </w:tcPr>
          <w:p>
            <w:pPr>
              <w:pStyle w:val="30"/>
            </w:pPr>
            <w:r>
              <w:t>年初工作安排</w:t>
            </w:r>
          </w:p>
        </w:tc>
      </w:tr>
    </w:tbl>
    <w:p>
      <w:pPr>
        <w:pStyle w:val="28"/>
      </w:pPr>
    </w:p>
    <w:p>
      <w:pPr>
        <w:pStyle w:val="28"/>
        <w:ind w:firstLine="560"/>
      </w:pPr>
      <w:r>
        <w:rPr>
          <w:rFonts w:ascii="方正仿宋_GBK" w:hAnsi="方正仿宋_GBK" w:eastAsia="方正仿宋_GBK" w:cs="方正仿宋_GBK"/>
          <w:b/>
          <w:color w:val="000000"/>
          <w:sz w:val="28"/>
        </w:rPr>
        <w:t>8、2022年人大立法经费项目绩效目标表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1.目标内容1</w:t>
            </w:r>
          </w:p>
        </w:tc>
      </w:tr>
    </w:tbl>
    <w:p>
      <w:pPr>
        <w:pStyle w:val="28"/>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出具报告份数</w:t>
            </w:r>
          </w:p>
        </w:tc>
        <w:tc>
          <w:tcPr>
            <w:tcW w:w="2835" w:type="dxa"/>
            <w:vAlign w:val="center"/>
          </w:tcPr>
          <w:p>
            <w:pPr>
              <w:pStyle w:val="30"/>
            </w:pPr>
            <w:r>
              <w:t>出具报告份数</w:t>
            </w:r>
          </w:p>
        </w:tc>
        <w:tc>
          <w:tcPr>
            <w:tcW w:w="2551" w:type="dxa"/>
            <w:vAlign w:val="center"/>
          </w:tcPr>
          <w:p>
            <w:pPr>
              <w:pStyle w:val="30"/>
            </w:pPr>
            <w:r>
              <w:t>≥1份</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召开论证会</w:t>
            </w:r>
          </w:p>
        </w:tc>
        <w:tc>
          <w:tcPr>
            <w:tcW w:w="2835" w:type="dxa"/>
            <w:vAlign w:val="center"/>
          </w:tcPr>
          <w:p>
            <w:pPr>
              <w:pStyle w:val="30"/>
            </w:pPr>
            <w:r>
              <w:t>召开论证会</w:t>
            </w:r>
          </w:p>
        </w:tc>
        <w:tc>
          <w:tcPr>
            <w:tcW w:w="2551" w:type="dxa"/>
            <w:vAlign w:val="center"/>
          </w:tcPr>
          <w:p>
            <w:pPr>
              <w:pStyle w:val="30"/>
            </w:pPr>
            <w:r>
              <w:t>≥1次</w:t>
            </w:r>
          </w:p>
        </w:tc>
        <w:tc>
          <w:tcPr>
            <w:tcW w:w="2268" w:type="dxa"/>
            <w:vAlign w:val="center"/>
          </w:tcPr>
          <w:p>
            <w:pPr>
              <w:pStyle w:val="30"/>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聘请第三方机构数</w:t>
            </w:r>
          </w:p>
        </w:tc>
        <w:tc>
          <w:tcPr>
            <w:tcW w:w="2835" w:type="dxa"/>
            <w:vAlign w:val="center"/>
          </w:tcPr>
          <w:p>
            <w:pPr>
              <w:pStyle w:val="30"/>
            </w:pPr>
            <w:r>
              <w:t>聘请第三方机构数</w:t>
            </w:r>
          </w:p>
        </w:tc>
        <w:tc>
          <w:tcPr>
            <w:tcW w:w="2551" w:type="dxa"/>
            <w:vAlign w:val="center"/>
          </w:tcPr>
          <w:p>
            <w:pPr>
              <w:pStyle w:val="30"/>
            </w:pPr>
            <w:r>
              <w:t>≥1个</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第三方参与人数</w:t>
            </w:r>
          </w:p>
        </w:tc>
        <w:tc>
          <w:tcPr>
            <w:tcW w:w="2835" w:type="dxa"/>
            <w:vAlign w:val="center"/>
          </w:tcPr>
          <w:p>
            <w:pPr>
              <w:pStyle w:val="30"/>
            </w:pPr>
            <w:r>
              <w:t>第三方参与人数</w:t>
            </w:r>
          </w:p>
        </w:tc>
        <w:tc>
          <w:tcPr>
            <w:tcW w:w="2551" w:type="dxa"/>
            <w:vAlign w:val="center"/>
          </w:tcPr>
          <w:p>
            <w:pPr>
              <w:pStyle w:val="30"/>
            </w:pPr>
            <w:r>
              <w:t>≥3人</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立法项目完成数量</w:t>
            </w:r>
          </w:p>
        </w:tc>
        <w:tc>
          <w:tcPr>
            <w:tcW w:w="2835" w:type="dxa"/>
            <w:vAlign w:val="center"/>
          </w:tcPr>
          <w:p>
            <w:pPr>
              <w:pStyle w:val="30"/>
            </w:pPr>
            <w:r>
              <w:t>立法项目完成数量</w:t>
            </w:r>
          </w:p>
        </w:tc>
        <w:tc>
          <w:tcPr>
            <w:tcW w:w="2551" w:type="dxa"/>
            <w:vAlign w:val="center"/>
          </w:tcPr>
          <w:p>
            <w:pPr>
              <w:pStyle w:val="30"/>
            </w:pPr>
            <w:r>
              <w:t>≥1项</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第三方机构资质达标性</w:t>
            </w:r>
          </w:p>
        </w:tc>
        <w:tc>
          <w:tcPr>
            <w:tcW w:w="2835" w:type="dxa"/>
            <w:vAlign w:val="center"/>
          </w:tcPr>
          <w:p>
            <w:pPr>
              <w:pStyle w:val="30"/>
            </w:pPr>
            <w:r>
              <w:t>第三方机构资质达标性</w:t>
            </w:r>
          </w:p>
        </w:tc>
        <w:tc>
          <w:tcPr>
            <w:tcW w:w="2551" w:type="dxa"/>
            <w:vAlign w:val="center"/>
          </w:tcPr>
          <w:p>
            <w:pPr>
              <w:pStyle w:val="30"/>
            </w:pPr>
            <w:r>
              <w:t>达标</w:t>
            </w:r>
          </w:p>
        </w:tc>
        <w:tc>
          <w:tcPr>
            <w:tcW w:w="2268" w:type="dxa"/>
            <w:vAlign w:val="center"/>
          </w:tcPr>
          <w:p>
            <w:pPr>
              <w:pStyle w:val="30"/>
            </w:pPr>
            <w:r>
              <w:t>资质审查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项目实施流程合规性</w:t>
            </w:r>
          </w:p>
        </w:tc>
        <w:tc>
          <w:tcPr>
            <w:tcW w:w="2835" w:type="dxa"/>
            <w:vAlign w:val="center"/>
          </w:tcPr>
          <w:p>
            <w:pPr>
              <w:pStyle w:val="30"/>
            </w:pPr>
            <w:r>
              <w:t>项目实施流程合规性</w:t>
            </w:r>
          </w:p>
        </w:tc>
        <w:tc>
          <w:tcPr>
            <w:tcW w:w="2551" w:type="dxa"/>
            <w:vAlign w:val="center"/>
          </w:tcPr>
          <w:p>
            <w:pPr>
              <w:pStyle w:val="30"/>
            </w:pPr>
            <w:r>
              <w:t>合规</w:t>
            </w:r>
          </w:p>
        </w:tc>
        <w:tc>
          <w:tcPr>
            <w:tcW w:w="2268" w:type="dxa"/>
            <w:vAlign w:val="center"/>
          </w:tcPr>
          <w:p>
            <w:pPr>
              <w:pStyle w:val="30"/>
            </w:pPr>
            <w:r>
              <w:t>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报告建议采纳率</w:t>
            </w:r>
          </w:p>
        </w:tc>
        <w:tc>
          <w:tcPr>
            <w:tcW w:w="2835" w:type="dxa"/>
            <w:vAlign w:val="center"/>
          </w:tcPr>
          <w:p>
            <w:pPr>
              <w:pStyle w:val="30"/>
            </w:pPr>
            <w:r>
              <w:t>报告建议采纳率</w:t>
            </w:r>
          </w:p>
        </w:tc>
        <w:tc>
          <w:tcPr>
            <w:tcW w:w="2551" w:type="dxa"/>
            <w:vAlign w:val="center"/>
          </w:tcPr>
          <w:p>
            <w:pPr>
              <w:pStyle w:val="30"/>
            </w:pPr>
            <w:r>
              <w:t>≥50%</w:t>
            </w:r>
          </w:p>
        </w:tc>
        <w:tc>
          <w:tcPr>
            <w:tcW w:w="2268" w:type="dxa"/>
            <w:vAlign w:val="center"/>
          </w:tcPr>
          <w:p>
            <w:pPr>
              <w:pStyle w:val="3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报告出具及时性</w:t>
            </w:r>
          </w:p>
        </w:tc>
        <w:tc>
          <w:tcPr>
            <w:tcW w:w="2835" w:type="dxa"/>
            <w:vAlign w:val="center"/>
          </w:tcPr>
          <w:p>
            <w:pPr>
              <w:pStyle w:val="30"/>
            </w:pPr>
            <w:r>
              <w:t>报告出具及时性</w:t>
            </w:r>
          </w:p>
        </w:tc>
        <w:tc>
          <w:tcPr>
            <w:tcW w:w="2551" w:type="dxa"/>
            <w:vAlign w:val="center"/>
          </w:tcPr>
          <w:p>
            <w:pPr>
              <w:pStyle w:val="30"/>
            </w:pPr>
            <w:r>
              <w:t>及时</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项目完成及时性</w:t>
            </w:r>
          </w:p>
        </w:tc>
        <w:tc>
          <w:tcPr>
            <w:tcW w:w="2835" w:type="dxa"/>
            <w:vAlign w:val="center"/>
          </w:tcPr>
          <w:p>
            <w:pPr>
              <w:pStyle w:val="30"/>
            </w:pPr>
            <w:r>
              <w:t>项目完成及时性</w:t>
            </w:r>
          </w:p>
        </w:tc>
        <w:tc>
          <w:tcPr>
            <w:tcW w:w="2551" w:type="dxa"/>
            <w:vAlign w:val="center"/>
          </w:tcPr>
          <w:p>
            <w:pPr>
              <w:pStyle w:val="30"/>
            </w:pPr>
            <w:r>
              <w:t>及时</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成本控制率</w:t>
            </w:r>
          </w:p>
        </w:tc>
        <w:tc>
          <w:tcPr>
            <w:tcW w:w="2835" w:type="dxa"/>
            <w:vAlign w:val="center"/>
          </w:tcPr>
          <w:p>
            <w:pPr>
              <w:pStyle w:val="30"/>
            </w:pPr>
            <w:r>
              <w:t>实际支出数/预算下达数*100%</w:t>
            </w:r>
          </w:p>
        </w:tc>
        <w:tc>
          <w:tcPr>
            <w:tcW w:w="2551" w:type="dxa"/>
            <w:vAlign w:val="center"/>
          </w:tcPr>
          <w:p>
            <w:pPr>
              <w:pStyle w:val="30"/>
            </w:pPr>
            <w:r>
              <w:t>≤100%</w:t>
            </w:r>
          </w:p>
        </w:tc>
        <w:tc>
          <w:tcPr>
            <w:tcW w:w="2268" w:type="dxa"/>
            <w:vAlign w:val="center"/>
          </w:tcPr>
          <w:p>
            <w:pPr>
              <w:pStyle w:val="30"/>
            </w:pPr>
            <w:r>
              <w:t xml:space="preserve">工作目标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效益指标</w:t>
            </w:r>
          </w:p>
        </w:tc>
        <w:tc>
          <w:tcPr>
            <w:tcW w:w="2268" w:type="dxa"/>
            <w:vAlign w:val="center"/>
          </w:tcPr>
          <w:p>
            <w:pPr>
              <w:pStyle w:val="30"/>
            </w:pPr>
            <w:r>
              <w:t>经济效益指标</w:t>
            </w:r>
          </w:p>
        </w:tc>
        <w:tc>
          <w:tcPr>
            <w:tcW w:w="2835" w:type="dxa"/>
            <w:vAlign w:val="center"/>
          </w:tcPr>
          <w:p>
            <w:pPr>
              <w:pStyle w:val="30"/>
            </w:pPr>
            <w:r>
              <w:t>实际达成合作意向数（以签订备忘</w:t>
            </w:r>
          </w:p>
        </w:tc>
        <w:tc>
          <w:tcPr>
            <w:tcW w:w="2835" w:type="dxa"/>
            <w:vAlign w:val="center"/>
          </w:tcPr>
          <w:p>
            <w:pPr>
              <w:pStyle w:val="30"/>
            </w:pPr>
            <w:r>
              <w:t>实际达成合作意向数（以签订备忘录或协议为准）</w:t>
            </w:r>
          </w:p>
        </w:tc>
        <w:tc>
          <w:tcPr>
            <w:tcW w:w="2551" w:type="dxa"/>
            <w:vAlign w:val="center"/>
          </w:tcPr>
          <w:p>
            <w:pPr>
              <w:pStyle w:val="30"/>
            </w:pPr>
            <w:r>
              <w:t>≥1个</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生态效益指标</w:t>
            </w:r>
          </w:p>
        </w:tc>
        <w:tc>
          <w:tcPr>
            <w:tcW w:w="2835" w:type="dxa"/>
            <w:vAlign w:val="center"/>
          </w:tcPr>
          <w:p>
            <w:pPr>
              <w:pStyle w:val="30"/>
            </w:pPr>
            <w:r>
              <w:t>改善水环境</w:t>
            </w:r>
          </w:p>
        </w:tc>
        <w:tc>
          <w:tcPr>
            <w:tcW w:w="2835" w:type="dxa"/>
            <w:vAlign w:val="center"/>
          </w:tcPr>
          <w:p>
            <w:pPr>
              <w:pStyle w:val="30"/>
            </w:pPr>
            <w:r>
              <w:t>有效保护水资源，改善水环境</w:t>
            </w:r>
          </w:p>
        </w:tc>
        <w:tc>
          <w:tcPr>
            <w:tcW w:w="2551" w:type="dxa"/>
            <w:vAlign w:val="center"/>
          </w:tcPr>
          <w:p>
            <w:pPr>
              <w:pStyle w:val="30"/>
            </w:pPr>
            <w:r>
              <w:t>有效保护</w:t>
            </w:r>
          </w:p>
        </w:tc>
        <w:tc>
          <w:tcPr>
            <w:tcW w:w="2268" w:type="dxa"/>
            <w:vAlign w:val="center"/>
          </w:tcPr>
          <w:p>
            <w:pPr>
              <w:pStyle w:val="30"/>
            </w:pPr>
            <w:r>
              <w:t>法律规定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经济效益指标</w:t>
            </w:r>
          </w:p>
        </w:tc>
        <w:tc>
          <w:tcPr>
            <w:tcW w:w="2835" w:type="dxa"/>
            <w:vAlign w:val="center"/>
          </w:tcPr>
          <w:p>
            <w:pPr>
              <w:pStyle w:val="30"/>
            </w:pPr>
            <w:r>
              <w:t>资金使用效益</w:t>
            </w:r>
          </w:p>
        </w:tc>
        <w:tc>
          <w:tcPr>
            <w:tcW w:w="2835" w:type="dxa"/>
            <w:vAlign w:val="center"/>
          </w:tcPr>
          <w:p>
            <w:pPr>
              <w:pStyle w:val="30"/>
            </w:pPr>
            <w:r>
              <w:t>资金使用效益</w:t>
            </w:r>
          </w:p>
        </w:tc>
        <w:tc>
          <w:tcPr>
            <w:tcW w:w="2551" w:type="dxa"/>
            <w:vAlign w:val="center"/>
          </w:tcPr>
          <w:p>
            <w:pPr>
              <w:pStyle w:val="30"/>
            </w:pPr>
            <w:r>
              <w:t>效益提升</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可持续影响指标</w:t>
            </w:r>
          </w:p>
        </w:tc>
        <w:tc>
          <w:tcPr>
            <w:tcW w:w="2835" w:type="dxa"/>
            <w:vAlign w:val="center"/>
          </w:tcPr>
          <w:p>
            <w:pPr>
              <w:pStyle w:val="30"/>
            </w:pPr>
            <w:r>
              <w:t>可持续性服务</w:t>
            </w:r>
          </w:p>
        </w:tc>
        <w:tc>
          <w:tcPr>
            <w:tcW w:w="2835" w:type="dxa"/>
            <w:vAlign w:val="center"/>
          </w:tcPr>
          <w:p>
            <w:pPr>
              <w:pStyle w:val="30"/>
            </w:pPr>
            <w:r>
              <w:t>可持续性服务</w:t>
            </w:r>
          </w:p>
        </w:tc>
        <w:tc>
          <w:tcPr>
            <w:tcW w:w="2551" w:type="dxa"/>
            <w:vAlign w:val="center"/>
          </w:tcPr>
          <w:p>
            <w:pPr>
              <w:pStyle w:val="30"/>
            </w:pPr>
            <w:r>
              <w:t>长期</w:t>
            </w:r>
          </w:p>
        </w:tc>
        <w:tc>
          <w:tcPr>
            <w:tcW w:w="2268" w:type="dxa"/>
            <w:vAlign w:val="center"/>
          </w:tcPr>
          <w:p>
            <w:pPr>
              <w:pStyle w:val="3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普法宣传对象满意度(%)</w:t>
            </w:r>
          </w:p>
        </w:tc>
        <w:tc>
          <w:tcPr>
            <w:tcW w:w="2835" w:type="dxa"/>
            <w:vAlign w:val="center"/>
          </w:tcPr>
          <w:p>
            <w:pPr>
              <w:pStyle w:val="30"/>
            </w:pPr>
            <w:r>
              <w:t>普法宣传对象满意度(%)</w:t>
            </w:r>
          </w:p>
        </w:tc>
        <w:tc>
          <w:tcPr>
            <w:tcW w:w="2551" w:type="dxa"/>
            <w:vAlign w:val="center"/>
          </w:tcPr>
          <w:p>
            <w:pPr>
              <w:pStyle w:val="30"/>
            </w:pPr>
            <w:r>
              <w:t>≥95%</w:t>
            </w:r>
          </w:p>
        </w:tc>
        <w:tc>
          <w:tcPr>
            <w:tcW w:w="2268" w:type="dxa"/>
            <w:vAlign w:val="center"/>
          </w:tcPr>
          <w:p>
            <w:pPr>
              <w:pStyle w:val="30"/>
            </w:pPr>
            <w:r>
              <w:t>工作目标</w:t>
            </w:r>
          </w:p>
        </w:tc>
      </w:tr>
    </w:tbl>
    <w:p>
      <w:pPr>
        <w:pStyle w:val="28"/>
        <w:rPr>
          <w:rFonts w:hint="eastAsia" w:eastAsiaTheme="minorEastAsia"/>
          <w:lang w:eastAsia="zh-CN"/>
        </w:rPr>
        <w:sectPr>
          <w:pgSz w:w="16840" w:h="11900" w:orient="landscape"/>
          <w:pgMar w:top="1361" w:right="1020" w:bottom="1361" w:left="1020" w:header="720" w:footer="720" w:gutter="0"/>
          <w:cols w:space="720" w:num="1"/>
          <w:docGrid w:linePitch="286"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62180"/>
      <w:docPartObj>
        <w:docPartGallery w:val="AutoText"/>
      </w:docPartObj>
    </w:sdtPr>
    <w:sdtContent>
      <w:p>
        <w:pPr>
          <w:pStyle w:val="2"/>
          <w:jc w:val="center"/>
        </w:pPr>
        <w:r>
          <w:fldChar w:fldCharType="begin"/>
        </w:r>
        <w:r>
          <w:instrText xml:space="preserve"> PAGE   \* MERGEFORMAT </w:instrText>
        </w:r>
        <w:r>
          <w:fldChar w:fldCharType="separate"/>
        </w:r>
        <w:r>
          <w:rPr>
            <w:lang w:val="zh-CN"/>
          </w:rPr>
          <w:t>25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1B"/>
    <w:rsid w:val="000028A1"/>
    <w:rsid w:val="000B6D5A"/>
    <w:rsid w:val="000D42CB"/>
    <w:rsid w:val="00111D35"/>
    <w:rsid w:val="001262D2"/>
    <w:rsid w:val="001547FC"/>
    <w:rsid w:val="001D5915"/>
    <w:rsid w:val="002967AE"/>
    <w:rsid w:val="002D5B26"/>
    <w:rsid w:val="00316816"/>
    <w:rsid w:val="003768C4"/>
    <w:rsid w:val="003C3CCB"/>
    <w:rsid w:val="003D055B"/>
    <w:rsid w:val="003D2877"/>
    <w:rsid w:val="00400AC4"/>
    <w:rsid w:val="00491F58"/>
    <w:rsid w:val="004B2322"/>
    <w:rsid w:val="004D4AA4"/>
    <w:rsid w:val="00562010"/>
    <w:rsid w:val="00693F70"/>
    <w:rsid w:val="006A10D2"/>
    <w:rsid w:val="006D6EC6"/>
    <w:rsid w:val="006F0C88"/>
    <w:rsid w:val="00712D20"/>
    <w:rsid w:val="0073251B"/>
    <w:rsid w:val="00746A37"/>
    <w:rsid w:val="00754FA2"/>
    <w:rsid w:val="007669DF"/>
    <w:rsid w:val="007736C2"/>
    <w:rsid w:val="00993D80"/>
    <w:rsid w:val="009A23DC"/>
    <w:rsid w:val="009A3C27"/>
    <w:rsid w:val="009A7656"/>
    <w:rsid w:val="00A11CAB"/>
    <w:rsid w:val="00A9645B"/>
    <w:rsid w:val="00AD1B8F"/>
    <w:rsid w:val="00AD360F"/>
    <w:rsid w:val="00AE51DC"/>
    <w:rsid w:val="00B457EC"/>
    <w:rsid w:val="00B52894"/>
    <w:rsid w:val="00B940A9"/>
    <w:rsid w:val="00BC48A4"/>
    <w:rsid w:val="00C50FE1"/>
    <w:rsid w:val="00CC2ED3"/>
    <w:rsid w:val="00CD3AF7"/>
    <w:rsid w:val="00D47332"/>
    <w:rsid w:val="00DA09CA"/>
    <w:rsid w:val="00E907F4"/>
    <w:rsid w:val="00EE11C9"/>
    <w:rsid w:val="00F71B95"/>
    <w:rsid w:val="00FB4440"/>
    <w:rsid w:val="00FB5A4C"/>
    <w:rsid w:val="00FE558F"/>
    <w:rsid w:val="00FF0EF7"/>
    <w:rsid w:val="01CF1530"/>
    <w:rsid w:val="0D865199"/>
    <w:rsid w:val="0FAC2EB1"/>
    <w:rsid w:val="11B4735A"/>
    <w:rsid w:val="11FF3B94"/>
    <w:rsid w:val="1EC32F11"/>
    <w:rsid w:val="3CA4175B"/>
    <w:rsid w:val="45DD7344"/>
    <w:rsid w:val="7E39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widowControl/>
      <w:tabs>
        <w:tab w:val="center" w:pos="4153"/>
        <w:tab w:val="right" w:pos="8306"/>
      </w:tabs>
      <w:snapToGrid w:val="0"/>
      <w:jc w:val="left"/>
    </w:pPr>
    <w:rPr>
      <w:rFonts w:ascii="Times New Roman" w:hAnsi="Times New Roman" w:eastAsia="Times New Roman"/>
      <w:kern w:val="0"/>
      <w:sz w:val="18"/>
      <w:szCs w:val="18"/>
      <w:lang w:eastAsia="uk-UA"/>
    </w:rPr>
  </w:style>
  <w:style w:type="paragraph" w:styleId="3">
    <w:name w:val="header"/>
    <w:basedOn w:val="1"/>
    <w:link w:val="10"/>
    <w:semiHidden/>
    <w:unhideWhenUsed/>
    <w:qFormat/>
    <w:uiPriority w:val="99"/>
    <w:pPr>
      <w:widowControl/>
      <w:pBdr>
        <w:bottom w:val="single" w:color="auto" w:sz="6" w:space="1"/>
      </w:pBdr>
      <w:tabs>
        <w:tab w:val="center" w:pos="4153"/>
        <w:tab w:val="right" w:pos="8306"/>
      </w:tabs>
      <w:snapToGrid w:val="0"/>
      <w:jc w:val="center"/>
    </w:pPr>
    <w:rPr>
      <w:rFonts w:ascii="Times New Roman" w:hAnsi="Times New Roman" w:eastAsia="Times New Roman"/>
      <w:kern w:val="0"/>
      <w:sz w:val="18"/>
      <w:szCs w:val="18"/>
      <w:lang w:eastAsia="uk-UA"/>
    </w:rPr>
  </w:style>
  <w:style w:type="table" w:styleId="5">
    <w:name w:val="Table Grid"/>
    <w:basedOn w:val="4"/>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Strong"/>
    <w:basedOn w:val="6"/>
    <w:qFormat/>
    <w:uiPriority w:val="22"/>
    <w:rPr>
      <w:rFonts w:cs="Times New Roman"/>
      <w:b/>
      <w:bCs/>
    </w:rPr>
  </w:style>
  <w:style w:type="character" w:styleId="8">
    <w:name w:val="Emphasis"/>
    <w:basedOn w:val="6"/>
    <w:qFormat/>
    <w:uiPriority w:val="20"/>
    <w:rPr>
      <w:rFonts w:cs="Times New Roman"/>
      <w:i/>
    </w:rPr>
  </w:style>
  <w:style w:type="character" w:customStyle="1" w:styleId="9">
    <w:name w:val="页脚 Char"/>
    <w:basedOn w:val="6"/>
    <w:link w:val="2"/>
    <w:qFormat/>
    <w:uiPriority w:val="99"/>
    <w:rPr>
      <w:rFonts w:ascii="Times New Roman" w:hAnsi="Times New Roman" w:eastAsia="Times New Roman" w:cs="Times New Roman"/>
      <w:kern w:val="0"/>
      <w:sz w:val="18"/>
      <w:szCs w:val="18"/>
      <w:lang w:eastAsia="uk-UA"/>
    </w:rPr>
  </w:style>
  <w:style w:type="character" w:customStyle="1" w:styleId="10">
    <w:name w:val="页眉 Char"/>
    <w:basedOn w:val="6"/>
    <w:link w:val="3"/>
    <w:semiHidden/>
    <w:qFormat/>
    <w:uiPriority w:val="99"/>
    <w:rPr>
      <w:rFonts w:ascii="Times New Roman" w:hAnsi="Times New Roman" w:eastAsia="Times New Roman" w:cs="Times New Roman"/>
      <w:kern w:val="0"/>
      <w:sz w:val="18"/>
      <w:szCs w:val="18"/>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lang w:eastAsia="uk-UA"/>
    </w:rPr>
  </w:style>
  <w:style w:type="paragraph" w:customStyle="1" w:styleId="12">
    <w:name w:val="单元格样式21"/>
    <w:basedOn w:val="1"/>
    <w:qFormat/>
    <w:uiPriority w:val="0"/>
    <w:pPr>
      <w:widowControl/>
      <w:jc w:val="center"/>
    </w:pPr>
    <w:rPr>
      <w:rFonts w:ascii="方正小标宋_GBK" w:hAnsi="方正小标宋_GBK" w:eastAsia="方正小标宋_GBK" w:cs="方正小标宋_GBK"/>
      <w:kern w:val="0"/>
      <w:sz w:val="24"/>
      <w:lang w:eastAsia="uk-UA"/>
    </w:rPr>
  </w:style>
  <w:style w:type="paragraph" w:customStyle="1" w:styleId="13">
    <w:name w:val="单元格样式20"/>
    <w:basedOn w:val="1"/>
    <w:qFormat/>
    <w:uiPriority w:val="0"/>
    <w:pPr>
      <w:widowControl/>
      <w:jc w:val="left"/>
    </w:pPr>
    <w:rPr>
      <w:rFonts w:ascii="方正小标宋_GBK" w:hAnsi="方正小标宋_GBK" w:eastAsia="方正小标宋_GBK" w:cs="方正小标宋_GBK"/>
      <w:kern w:val="0"/>
      <w:sz w:val="24"/>
      <w:lang w:eastAsia="uk-U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lang w:eastAsia="uk-UA"/>
    </w:rPr>
  </w:style>
  <w:style w:type="paragraph" w:customStyle="1" w:styleId="18">
    <w:name w:val="单元格样式6"/>
    <w:basedOn w:val="1"/>
    <w:qFormat/>
    <w:uiPriority w:val="0"/>
    <w:pPr>
      <w:widowControl/>
      <w:jc w:val="center"/>
    </w:pPr>
    <w:rPr>
      <w:rFonts w:ascii="方正书宋_GBK" w:hAnsi="方正书宋_GBK" w:eastAsia="方正书宋_GBK" w:cs="方正书宋_GBK"/>
      <w:b/>
      <w:kern w:val="0"/>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lang w:eastAsia="uk-UA"/>
    </w:rPr>
  </w:style>
  <w:style w:type="paragraph" w:customStyle="1" w:styleId="20">
    <w:name w:val="单元格样式5"/>
    <w:basedOn w:val="1"/>
    <w:qFormat/>
    <w:uiPriority w:val="0"/>
    <w:pPr>
      <w:widowControl/>
      <w:jc w:val="left"/>
    </w:pPr>
    <w:rPr>
      <w:rFonts w:ascii="方正书宋_GBK" w:hAnsi="方正书宋_GBK" w:eastAsia="方正书宋_GBK" w:cs="方正书宋_GBK"/>
      <w:b/>
      <w:kern w:val="0"/>
      <w:lang w:eastAsia="uk-UA"/>
    </w:rPr>
  </w:style>
  <w:style w:type="paragraph" w:customStyle="1" w:styleId="21">
    <w:name w:val="插入文本样式-插入部门职责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2">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3">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4">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5">
    <w:name w:val="插入文本样式-插入总体目标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6">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7">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28">
    <w:name w:val="Normal_5a42b9f2-45ca-49c2-8321-51ada87bb25a"/>
    <w:qFormat/>
    <w:uiPriority w:val="0"/>
    <w:rPr>
      <w:rFonts w:ascii="Times New Roman" w:hAnsi="Times New Roman" w:eastAsia="Times New Roman" w:cs="Times New Roman"/>
      <w:kern w:val="0"/>
      <w:sz w:val="24"/>
      <w:szCs w:val="24"/>
      <w:lang w:val="en-US" w:eastAsia="uk-UA" w:bidi="ar-SA"/>
    </w:rPr>
  </w:style>
  <w:style w:type="paragraph" w:customStyle="1" w:styleId="29">
    <w:name w:val="单元格样式1_b21bc768-8a74-448e-8b03-878411b48b62"/>
    <w:basedOn w:val="1"/>
    <w:qFormat/>
    <w:uiPriority w:val="0"/>
    <w:pPr>
      <w:widowControl/>
      <w:jc w:val="center"/>
    </w:pPr>
    <w:rPr>
      <w:rFonts w:ascii="方正书宋_GBK" w:hAnsi="方正书宋_GBK" w:eastAsia="方正书宋_GBK" w:cs="方正书宋_GBK"/>
      <w:b/>
      <w:kern w:val="0"/>
      <w:lang w:eastAsia="uk-UA"/>
    </w:rPr>
  </w:style>
  <w:style w:type="paragraph" w:customStyle="1" w:styleId="30">
    <w:name w:val="单元格样式2_e4ffcab8-c945-49e5-a378-6f62d15fa567"/>
    <w:basedOn w:val="1"/>
    <w:qFormat/>
    <w:uiPriority w:val="0"/>
    <w:pPr>
      <w:widowControl/>
      <w:jc w:val="left"/>
    </w:pPr>
    <w:rPr>
      <w:rFonts w:ascii="方正书宋_GBK" w:hAnsi="方正书宋_GBK" w:eastAsia="方正书宋_GBK" w:cs="方正书宋_GBK"/>
      <w:kern w:val="0"/>
      <w:lang w:eastAsia="uk-UA"/>
    </w:rPr>
  </w:style>
  <w:style w:type="paragraph" w:customStyle="1" w:styleId="31">
    <w:name w:val="单元格样式3_dbeee43d-61a4-41df-9f1d-3f01c5e0c811"/>
    <w:basedOn w:val="1"/>
    <w:qFormat/>
    <w:uiPriority w:val="0"/>
    <w:pPr>
      <w:widowControl/>
      <w:jc w:val="center"/>
    </w:pPr>
    <w:rPr>
      <w:rFonts w:ascii="方正书宋_GBK" w:hAnsi="方正书宋_GBK" w:eastAsia="方正书宋_GBK" w:cs="方正书宋_GBK"/>
      <w:kern w:val="0"/>
      <w:lang w:eastAsia="uk-UA"/>
    </w:rPr>
  </w:style>
  <w:style w:type="paragraph" w:customStyle="1" w:styleId="32">
    <w:name w:val="单元格样式23"/>
    <w:basedOn w:val="1"/>
    <w:qFormat/>
    <w:uiPriority w:val="0"/>
    <w:pPr>
      <w:widowControl/>
      <w:jc w:val="right"/>
    </w:pPr>
    <w:rPr>
      <w:rFonts w:ascii="方正书宋_GBK" w:hAnsi="方正书宋_GBK" w:eastAsia="方正书宋_GBK" w:cs="方正书宋_GBK"/>
      <w:kern w:val="0"/>
      <w:sz w:val="24"/>
      <w:lang w:eastAsia="uk-UA"/>
    </w:rPr>
  </w:style>
  <w:style w:type="paragraph" w:customStyle="1" w:styleId="33">
    <w:name w:val="插入文本样式-插入单位职责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34">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35">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36">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kern w:val="0"/>
      <w:sz w:val="28"/>
      <w:lang w:eastAsia="uk-UA"/>
    </w:rPr>
  </w:style>
  <w:style w:type="paragraph" w:customStyle="1" w:styleId="37">
    <w:name w:val="TOC 2"/>
    <w:basedOn w:val="1"/>
    <w:qFormat/>
    <w:uiPriority w:val="0"/>
    <w:pPr>
      <w:widowControl/>
      <w:ind w:left="240"/>
      <w:jc w:val="left"/>
    </w:pPr>
    <w:rPr>
      <w:rFonts w:ascii="Times New Roman" w:hAnsi="Times New Roman" w:eastAsia="Times New Roman"/>
      <w:kern w:val="0"/>
      <w:sz w:val="24"/>
      <w:lang w:eastAsia="uk-UA"/>
    </w:rPr>
  </w:style>
  <w:style w:type="paragraph" w:customStyle="1" w:styleId="38">
    <w:name w:val="TOC 3"/>
    <w:basedOn w:val="1"/>
    <w:qFormat/>
    <w:uiPriority w:val="0"/>
    <w:pPr>
      <w:widowControl/>
      <w:ind w:left="480"/>
      <w:jc w:val="left"/>
    </w:pPr>
    <w:rPr>
      <w:rFonts w:ascii="Times New Roman" w:hAnsi="Times New Roman" w:eastAsia="Times New Roman"/>
      <w:kern w:val="0"/>
      <w:sz w:val="24"/>
      <w:lang w:eastAsia="uk-UA"/>
    </w:rPr>
  </w:style>
  <w:style w:type="paragraph" w:customStyle="1" w:styleId="39">
    <w:name w:val="TOC 4"/>
    <w:basedOn w:val="1"/>
    <w:qFormat/>
    <w:uiPriority w:val="0"/>
    <w:pPr>
      <w:widowControl/>
      <w:ind w:left="720"/>
      <w:jc w:val="left"/>
    </w:pPr>
    <w:rPr>
      <w:rFonts w:ascii="Times New Roman" w:hAnsi="Times New Roman" w:eastAsia="Times New Roman"/>
      <w:kern w:val="0"/>
      <w:sz w:val="24"/>
      <w:lang w:eastAsia="uk-UA"/>
    </w:rPr>
  </w:style>
  <w:style w:type="paragraph" w:customStyle="1" w:styleId="40">
    <w:name w:val="TOC 1"/>
    <w:basedOn w:val="1"/>
    <w:qFormat/>
    <w:uiPriority w:val="0"/>
    <w:pPr>
      <w:widowControl/>
      <w:spacing w:before="120"/>
      <w:ind w:firstLine="560"/>
      <w:jc w:val="left"/>
    </w:pPr>
    <w:rPr>
      <w:rFonts w:ascii="Times New Roman" w:hAnsi="Times New Roman" w:eastAsia="方正仿宋_GBK"/>
      <w:color w:val="000000"/>
      <w:kern w:val="0"/>
      <w:sz w:val="2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2089</Words>
  <Characters>11909</Characters>
  <Lines>99</Lines>
  <Paragraphs>27</Paragraphs>
  <TotalTime>161</TotalTime>
  <ScaleCrop>false</ScaleCrop>
  <LinksUpToDate>false</LinksUpToDate>
  <CharactersWithSpaces>13971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2022-03-01T03:31:00Z</dcterms:created>
  <dc:creator>微软用户</dc:creator>
  <cp:lastModifiedBy>Administrator</cp:lastModifiedBy>
  <cp:lastPrinted>2022-03-02T02:58:49Z</cp:lastPrinted>
  <dcterms:modified xsi:type="dcterms:W3CDTF">2022-03-02T03:00:04Z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508458E2C39F4D629FE9FA100BB3F3FF</vt:lpwstr>
  </property>
</Properties>
</file>