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7"/>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7"/>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7"/>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7"/>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37"/>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13</w:t>
      </w:r>
      <w:r>
        <w:fldChar w:fldCharType="end"/>
      </w:r>
      <w:r>
        <w:fldChar w:fldCharType="end"/>
      </w:r>
    </w:p>
    <w:p>
      <w:pPr>
        <w:pStyle w:val="37"/>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37"/>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16</w:t>
      </w:r>
      <w:r>
        <w:fldChar w:fldCharType="end"/>
      </w:r>
      <w:r>
        <w:fldChar w:fldCharType="end"/>
      </w:r>
    </w:p>
    <w:p>
      <w:pPr>
        <w:pStyle w:val="37"/>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17</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19</w:t>
      </w:r>
      <w:r>
        <w:fldChar w:fldCharType="end"/>
      </w:r>
      <w:r>
        <w:fldChar w:fldCharType="end"/>
      </w:r>
    </w:p>
    <w:p>
      <w:pPr>
        <w:pStyle w:val="37"/>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37"/>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3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37"/>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20</w:t>
      </w:r>
      <w:r>
        <w:fldChar w:fldCharType="end"/>
      </w:r>
      <w:r>
        <w:fldChar w:fldCharType="end"/>
      </w:r>
    </w:p>
    <w:p>
      <w:pPr>
        <w:pStyle w:val="37"/>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31</w:t>
      </w:r>
      <w:r>
        <w:fldChar w:fldCharType="end"/>
      </w:r>
      <w:r>
        <w:fldChar w:fldCharType="end"/>
      </w:r>
    </w:p>
    <w:p>
      <w:pPr>
        <w:pStyle w:val="37"/>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31</w:t>
      </w:r>
      <w:r>
        <w:fldChar w:fldCharType="end"/>
      </w:r>
      <w:r>
        <w:fldChar w:fldCharType="end"/>
      </w:r>
    </w:p>
    <w:p>
      <w:pPr>
        <w:pStyle w:val="37"/>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31</w:t>
      </w:r>
      <w:r>
        <w:fldChar w:fldCharType="end"/>
      </w:r>
      <w:r>
        <w:fldChar w:fldCharType="end"/>
      </w:r>
    </w:p>
    <w:p>
      <w:pPr>
        <w:pStyle w:val="37"/>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32</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p>
    <w:p>
      <w:pPr>
        <w:jc w:val="center"/>
      </w:pPr>
    </w:p>
    <w:p>
      <w:pPr>
        <w:jc w:val="center"/>
      </w:pPr>
    </w:p>
    <w:p>
      <w:pPr>
        <w:jc w:val="center"/>
      </w:pPr>
    </w:p>
    <w:p>
      <w:pPr>
        <w:jc w:val="center"/>
      </w:pP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101承德市人民代表大会常务委员会办公室</w:t>
            </w:r>
          </w:p>
        </w:tc>
        <w:tc>
          <w:tcPr>
            <w:tcW w:w="2126" w:type="dxa"/>
            <w:tcBorders>
              <w:top w:val="single" w:color="FFFFFF" w:sz="6" w:space="0"/>
              <w:left w:val="single" w:color="FFFFFF" w:sz="6" w:space="0"/>
              <w:right w:val="single" w:color="FFFFFF" w:sz="6" w:space="0"/>
            </w:tcBorders>
            <w:vAlign w:val="center"/>
          </w:tcPr>
          <w:p>
            <w:pPr>
              <w:pStyle w:val="9"/>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2412.38</w:t>
            </w:r>
          </w:p>
        </w:tc>
        <w:tc>
          <w:tcPr>
            <w:tcW w:w="4535" w:type="dxa"/>
            <w:vAlign w:val="center"/>
          </w:tcPr>
          <w:p>
            <w:pPr>
              <w:pStyle w:val="13"/>
            </w:pPr>
            <w:r>
              <w:t>一、一般公共服务支出</w:t>
            </w:r>
          </w:p>
        </w:tc>
        <w:tc>
          <w:tcPr>
            <w:tcW w:w="2126" w:type="dxa"/>
            <w:vAlign w:val="center"/>
          </w:tcPr>
          <w:p>
            <w:pPr>
              <w:pStyle w:val="12"/>
            </w:pPr>
            <w:r>
              <w:t>1801.86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440.88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71.60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98.04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三十一、往来性支出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2412.38</w:t>
            </w:r>
          </w:p>
        </w:tc>
        <w:tc>
          <w:tcPr>
            <w:tcW w:w="4535" w:type="dxa"/>
            <w:vAlign w:val="center"/>
          </w:tcPr>
          <w:p>
            <w:pPr>
              <w:pStyle w:val="15"/>
            </w:pPr>
            <w:r>
              <w:t>本年支出合计</w:t>
            </w:r>
          </w:p>
        </w:tc>
        <w:tc>
          <w:tcPr>
            <w:tcW w:w="2126" w:type="dxa"/>
            <w:vAlign w:val="center"/>
          </w:tcPr>
          <w:p>
            <w:pPr>
              <w:pStyle w:val="16"/>
            </w:pPr>
            <w:r>
              <w:t>2412.38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2412.38</w:t>
            </w:r>
          </w:p>
        </w:tc>
        <w:tc>
          <w:tcPr>
            <w:tcW w:w="4535" w:type="dxa"/>
            <w:vAlign w:val="center"/>
          </w:tcPr>
          <w:p>
            <w:pPr>
              <w:pStyle w:val="15"/>
            </w:pPr>
            <w:r>
              <w:t>支出总计</w:t>
            </w:r>
          </w:p>
        </w:tc>
        <w:tc>
          <w:tcPr>
            <w:tcW w:w="2126" w:type="dxa"/>
            <w:vAlign w:val="center"/>
          </w:tcPr>
          <w:p>
            <w:pPr>
              <w:pStyle w:val="16"/>
            </w:pPr>
            <w:r>
              <w:t>2412.38</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101承德市人民代表大会常务委员会办公室</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2412.38</w:t>
            </w:r>
          </w:p>
        </w:tc>
        <w:tc>
          <w:tcPr>
            <w:tcW w:w="1134" w:type="dxa"/>
            <w:vAlign w:val="center"/>
          </w:tcPr>
          <w:p>
            <w:pPr>
              <w:pStyle w:val="16"/>
            </w:pPr>
            <w:r>
              <w:t>2412.38</w:t>
            </w:r>
          </w:p>
        </w:tc>
        <w:tc>
          <w:tcPr>
            <w:tcW w:w="1134" w:type="dxa"/>
            <w:vAlign w:val="center"/>
          </w:tcPr>
          <w:p>
            <w:pPr>
              <w:pStyle w:val="16"/>
            </w:pPr>
            <w:r>
              <w:t>2412.38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2"/>
            </w:pPr>
            <w:r>
              <w:t>1801.86</w:t>
            </w:r>
          </w:p>
        </w:tc>
        <w:tc>
          <w:tcPr>
            <w:tcW w:w="1134" w:type="dxa"/>
            <w:vAlign w:val="center"/>
          </w:tcPr>
          <w:p>
            <w:pPr>
              <w:pStyle w:val="12"/>
            </w:pPr>
            <w:r>
              <w:t>1801.86</w:t>
            </w:r>
          </w:p>
        </w:tc>
        <w:tc>
          <w:tcPr>
            <w:tcW w:w="1134" w:type="dxa"/>
            <w:vAlign w:val="center"/>
          </w:tcPr>
          <w:p>
            <w:pPr>
              <w:pStyle w:val="12"/>
            </w:pPr>
            <w:r>
              <w:t>1801.86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20101</w:t>
            </w:r>
          </w:p>
        </w:tc>
        <w:tc>
          <w:tcPr>
            <w:tcW w:w="1559" w:type="dxa"/>
            <w:vAlign w:val="center"/>
          </w:tcPr>
          <w:p>
            <w:pPr>
              <w:pStyle w:val="13"/>
            </w:pPr>
            <w:r>
              <w:t>人大事务</w:t>
            </w:r>
          </w:p>
        </w:tc>
        <w:tc>
          <w:tcPr>
            <w:tcW w:w="1134" w:type="dxa"/>
            <w:vAlign w:val="center"/>
          </w:tcPr>
          <w:p>
            <w:pPr>
              <w:pStyle w:val="12"/>
            </w:pPr>
            <w:r>
              <w:t>1801.86</w:t>
            </w:r>
          </w:p>
        </w:tc>
        <w:tc>
          <w:tcPr>
            <w:tcW w:w="1134" w:type="dxa"/>
            <w:vAlign w:val="center"/>
          </w:tcPr>
          <w:p>
            <w:pPr>
              <w:pStyle w:val="12"/>
            </w:pPr>
            <w:r>
              <w:t>1801.86</w:t>
            </w:r>
          </w:p>
        </w:tc>
        <w:tc>
          <w:tcPr>
            <w:tcW w:w="1134" w:type="dxa"/>
            <w:vAlign w:val="center"/>
          </w:tcPr>
          <w:p>
            <w:pPr>
              <w:pStyle w:val="12"/>
            </w:pPr>
            <w:r>
              <w:t>1801.86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2010101</w:t>
            </w:r>
          </w:p>
        </w:tc>
        <w:tc>
          <w:tcPr>
            <w:tcW w:w="1559" w:type="dxa"/>
            <w:vAlign w:val="center"/>
          </w:tcPr>
          <w:p>
            <w:pPr>
              <w:pStyle w:val="13"/>
            </w:pPr>
            <w:r>
              <w:t>行政运行</w:t>
            </w:r>
          </w:p>
        </w:tc>
        <w:tc>
          <w:tcPr>
            <w:tcW w:w="1134" w:type="dxa"/>
            <w:vAlign w:val="center"/>
          </w:tcPr>
          <w:p>
            <w:pPr>
              <w:pStyle w:val="12"/>
            </w:pPr>
            <w:r>
              <w:t>1372.80</w:t>
            </w:r>
          </w:p>
        </w:tc>
        <w:tc>
          <w:tcPr>
            <w:tcW w:w="1134" w:type="dxa"/>
            <w:vAlign w:val="center"/>
          </w:tcPr>
          <w:p>
            <w:pPr>
              <w:pStyle w:val="12"/>
            </w:pPr>
            <w:r>
              <w:t>1372.80</w:t>
            </w:r>
          </w:p>
        </w:tc>
        <w:tc>
          <w:tcPr>
            <w:tcW w:w="1134" w:type="dxa"/>
            <w:vAlign w:val="center"/>
          </w:tcPr>
          <w:p>
            <w:pPr>
              <w:pStyle w:val="12"/>
            </w:pPr>
            <w:r>
              <w:t>1372.80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2010102</w:t>
            </w:r>
          </w:p>
        </w:tc>
        <w:tc>
          <w:tcPr>
            <w:tcW w:w="1559" w:type="dxa"/>
            <w:vAlign w:val="center"/>
          </w:tcPr>
          <w:p>
            <w:pPr>
              <w:pStyle w:val="13"/>
            </w:pPr>
            <w:r>
              <w:t>一般行政管理事务</w:t>
            </w:r>
          </w:p>
        </w:tc>
        <w:tc>
          <w:tcPr>
            <w:tcW w:w="1134" w:type="dxa"/>
            <w:vAlign w:val="center"/>
          </w:tcPr>
          <w:p>
            <w:pPr>
              <w:pStyle w:val="12"/>
            </w:pPr>
            <w:r>
              <w:t>39.06</w:t>
            </w:r>
          </w:p>
        </w:tc>
        <w:tc>
          <w:tcPr>
            <w:tcW w:w="1134" w:type="dxa"/>
            <w:vAlign w:val="center"/>
          </w:tcPr>
          <w:p>
            <w:pPr>
              <w:pStyle w:val="12"/>
            </w:pPr>
            <w:r>
              <w:t>39.06</w:t>
            </w:r>
          </w:p>
        </w:tc>
        <w:tc>
          <w:tcPr>
            <w:tcW w:w="1134" w:type="dxa"/>
            <w:vAlign w:val="center"/>
          </w:tcPr>
          <w:p>
            <w:pPr>
              <w:pStyle w:val="12"/>
            </w:pPr>
            <w:r>
              <w:t>39.06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2010103</w:t>
            </w:r>
          </w:p>
        </w:tc>
        <w:tc>
          <w:tcPr>
            <w:tcW w:w="1559" w:type="dxa"/>
            <w:vAlign w:val="center"/>
          </w:tcPr>
          <w:p>
            <w:pPr>
              <w:pStyle w:val="13"/>
            </w:pPr>
            <w:r>
              <w:t>机关服务</w:t>
            </w:r>
          </w:p>
        </w:tc>
        <w:tc>
          <w:tcPr>
            <w:tcW w:w="1134" w:type="dxa"/>
            <w:vAlign w:val="center"/>
          </w:tcPr>
          <w:p>
            <w:pPr>
              <w:pStyle w:val="12"/>
            </w:pPr>
            <w:r>
              <w:t>60.00</w:t>
            </w:r>
          </w:p>
        </w:tc>
        <w:tc>
          <w:tcPr>
            <w:tcW w:w="1134" w:type="dxa"/>
            <w:vAlign w:val="center"/>
          </w:tcPr>
          <w:p>
            <w:pPr>
              <w:pStyle w:val="12"/>
            </w:pPr>
            <w:r>
              <w:t>60.00</w:t>
            </w:r>
          </w:p>
        </w:tc>
        <w:tc>
          <w:tcPr>
            <w:tcW w:w="1134" w:type="dxa"/>
            <w:vAlign w:val="center"/>
          </w:tcPr>
          <w:p>
            <w:pPr>
              <w:pStyle w:val="12"/>
            </w:pPr>
            <w:r>
              <w:t>60.00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2010104</w:t>
            </w:r>
          </w:p>
        </w:tc>
        <w:tc>
          <w:tcPr>
            <w:tcW w:w="1559" w:type="dxa"/>
            <w:vAlign w:val="center"/>
          </w:tcPr>
          <w:p>
            <w:pPr>
              <w:pStyle w:val="13"/>
            </w:pPr>
            <w:r>
              <w:t>人大会议</w:t>
            </w:r>
          </w:p>
        </w:tc>
        <w:tc>
          <w:tcPr>
            <w:tcW w:w="1134" w:type="dxa"/>
            <w:vAlign w:val="center"/>
          </w:tcPr>
          <w:p>
            <w:pPr>
              <w:pStyle w:val="12"/>
            </w:pPr>
            <w:r>
              <w:t>170.00</w:t>
            </w:r>
          </w:p>
        </w:tc>
        <w:tc>
          <w:tcPr>
            <w:tcW w:w="1134" w:type="dxa"/>
            <w:vAlign w:val="center"/>
          </w:tcPr>
          <w:p>
            <w:pPr>
              <w:pStyle w:val="12"/>
            </w:pPr>
            <w:r>
              <w:t>170.00</w:t>
            </w:r>
          </w:p>
        </w:tc>
        <w:tc>
          <w:tcPr>
            <w:tcW w:w="1134" w:type="dxa"/>
            <w:vAlign w:val="center"/>
          </w:tcPr>
          <w:p>
            <w:pPr>
              <w:pStyle w:val="12"/>
            </w:pPr>
            <w:r>
              <w:t>170.00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2010105</w:t>
            </w:r>
          </w:p>
        </w:tc>
        <w:tc>
          <w:tcPr>
            <w:tcW w:w="1559" w:type="dxa"/>
            <w:vAlign w:val="center"/>
          </w:tcPr>
          <w:p>
            <w:pPr>
              <w:pStyle w:val="13"/>
            </w:pPr>
            <w:r>
              <w:t>人大立法</w:t>
            </w:r>
          </w:p>
        </w:tc>
        <w:tc>
          <w:tcPr>
            <w:tcW w:w="1134" w:type="dxa"/>
            <w:vAlign w:val="center"/>
          </w:tcPr>
          <w:p>
            <w:pPr>
              <w:pStyle w:val="12"/>
            </w:pPr>
            <w:r>
              <w:t>25.00</w:t>
            </w:r>
          </w:p>
        </w:tc>
        <w:tc>
          <w:tcPr>
            <w:tcW w:w="1134" w:type="dxa"/>
            <w:vAlign w:val="center"/>
          </w:tcPr>
          <w:p>
            <w:pPr>
              <w:pStyle w:val="12"/>
            </w:pPr>
            <w:r>
              <w:t>25.00</w:t>
            </w:r>
          </w:p>
        </w:tc>
        <w:tc>
          <w:tcPr>
            <w:tcW w:w="1134" w:type="dxa"/>
            <w:vAlign w:val="center"/>
          </w:tcPr>
          <w:p>
            <w:pPr>
              <w:pStyle w:val="12"/>
            </w:pPr>
            <w:r>
              <w:t>25.00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2010106</w:t>
            </w:r>
          </w:p>
        </w:tc>
        <w:tc>
          <w:tcPr>
            <w:tcW w:w="1559" w:type="dxa"/>
            <w:vAlign w:val="center"/>
          </w:tcPr>
          <w:p>
            <w:pPr>
              <w:pStyle w:val="13"/>
            </w:pPr>
            <w:r>
              <w:t>人大监督</w:t>
            </w:r>
          </w:p>
        </w:tc>
        <w:tc>
          <w:tcPr>
            <w:tcW w:w="1134" w:type="dxa"/>
            <w:vAlign w:val="center"/>
          </w:tcPr>
          <w:p>
            <w:pPr>
              <w:pStyle w:val="12"/>
            </w:pPr>
            <w:r>
              <w:t>25.00</w:t>
            </w:r>
          </w:p>
        </w:tc>
        <w:tc>
          <w:tcPr>
            <w:tcW w:w="1134" w:type="dxa"/>
            <w:vAlign w:val="center"/>
          </w:tcPr>
          <w:p>
            <w:pPr>
              <w:pStyle w:val="12"/>
            </w:pPr>
            <w:r>
              <w:t>25.00</w:t>
            </w:r>
          </w:p>
        </w:tc>
        <w:tc>
          <w:tcPr>
            <w:tcW w:w="1134" w:type="dxa"/>
            <w:vAlign w:val="center"/>
          </w:tcPr>
          <w:p>
            <w:pPr>
              <w:pStyle w:val="12"/>
            </w:pPr>
            <w:r>
              <w:t>25.00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2010107</w:t>
            </w:r>
          </w:p>
        </w:tc>
        <w:tc>
          <w:tcPr>
            <w:tcW w:w="1559" w:type="dxa"/>
            <w:vAlign w:val="center"/>
          </w:tcPr>
          <w:p>
            <w:pPr>
              <w:pStyle w:val="13"/>
            </w:pPr>
            <w:r>
              <w:t>人大代表履职能力提升</w:t>
            </w:r>
          </w:p>
        </w:tc>
        <w:tc>
          <w:tcPr>
            <w:tcW w:w="1134" w:type="dxa"/>
            <w:vAlign w:val="center"/>
          </w:tcPr>
          <w:p>
            <w:pPr>
              <w:pStyle w:val="12"/>
            </w:pPr>
            <w:r>
              <w:t>70.00</w:t>
            </w:r>
          </w:p>
        </w:tc>
        <w:tc>
          <w:tcPr>
            <w:tcW w:w="1134" w:type="dxa"/>
            <w:vAlign w:val="center"/>
          </w:tcPr>
          <w:p>
            <w:pPr>
              <w:pStyle w:val="12"/>
            </w:pPr>
            <w:r>
              <w:t>70.00</w:t>
            </w:r>
          </w:p>
        </w:tc>
        <w:tc>
          <w:tcPr>
            <w:tcW w:w="1134" w:type="dxa"/>
            <w:vAlign w:val="center"/>
          </w:tcPr>
          <w:p>
            <w:pPr>
              <w:pStyle w:val="12"/>
            </w:pPr>
            <w:r>
              <w:t>70.00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2010108</w:t>
            </w:r>
          </w:p>
        </w:tc>
        <w:tc>
          <w:tcPr>
            <w:tcW w:w="1559" w:type="dxa"/>
            <w:vAlign w:val="center"/>
          </w:tcPr>
          <w:p>
            <w:pPr>
              <w:pStyle w:val="13"/>
            </w:pPr>
            <w:r>
              <w:t>代表工作</w:t>
            </w:r>
          </w:p>
        </w:tc>
        <w:tc>
          <w:tcPr>
            <w:tcW w:w="1134" w:type="dxa"/>
            <w:vAlign w:val="center"/>
          </w:tcPr>
          <w:p>
            <w:pPr>
              <w:pStyle w:val="12"/>
            </w:pPr>
            <w:r>
              <w:t>40.00</w:t>
            </w:r>
          </w:p>
        </w:tc>
        <w:tc>
          <w:tcPr>
            <w:tcW w:w="1134" w:type="dxa"/>
            <w:vAlign w:val="center"/>
          </w:tcPr>
          <w:p>
            <w:pPr>
              <w:pStyle w:val="12"/>
            </w:pPr>
            <w:r>
              <w:t>40.00</w:t>
            </w:r>
          </w:p>
        </w:tc>
        <w:tc>
          <w:tcPr>
            <w:tcW w:w="1134" w:type="dxa"/>
            <w:vAlign w:val="center"/>
          </w:tcPr>
          <w:p>
            <w:pPr>
              <w:pStyle w:val="12"/>
            </w:pPr>
            <w:r>
              <w:t>40.00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440.88</w:t>
            </w:r>
          </w:p>
        </w:tc>
        <w:tc>
          <w:tcPr>
            <w:tcW w:w="1134" w:type="dxa"/>
            <w:vAlign w:val="center"/>
          </w:tcPr>
          <w:p>
            <w:pPr>
              <w:pStyle w:val="12"/>
            </w:pPr>
            <w:r>
              <w:t>440.88</w:t>
            </w:r>
          </w:p>
        </w:tc>
        <w:tc>
          <w:tcPr>
            <w:tcW w:w="1134" w:type="dxa"/>
            <w:vAlign w:val="center"/>
          </w:tcPr>
          <w:p>
            <w:pPr>
              <w:pStyle w:val="12"/>
            </w:pPr>
            <w:r>
              <w:t>440.88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433.93</w:t>
            </w:r>
          </w:p>
        </w:tc>
        <w:tc>
          <w:tcPr>
            <w:tcW w:w="1134" w:type="dxa"/>
            <w:vAlign w:val="center"/>
          </w:tcPr>
          <w:p>
            <w:pPr>
              <w:pStyle w:val="12"/>
            </w:pPr>
            <w:r>
              <w:t>433.93</w:t>
            </w:r>
          </w:p>
        </w:tc>
        <w:tc>
          <w:tcPr>
            <w:tcW w:w="1134" w:type="dxa"/>
            <w:vAlign w:val="center"/>
          </w:tcPr>
          <w:p>
            <w:pPr>
              <w:pStyle w:val="12"/>
            </w:pPr>
            <w:r>
              <w:t>433.93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2080501</w:t>
            </w:r>
          </w:p>
        </w:tc>
        <w:tc>
          <w:tcPr>
            <w:tcW w:w="1559" w:type="dxa"/>
            <w:vAlign w:val="center"/>
          </w:tcPr>
          <w:p>
            <w:pPr>
              <w:pStyle w:val="13"/>
            </w:pPr>
            <w:r>
              <w:t>行政单位离退休</w:t>
            </w:r>
          </w:p>
        </w:tc>
        <w:tc>
          <w:tcPr>
            <w:tcW w:w="1134" w:type="dxa"/>
            <w:vAlign w:val="center"/>
          </w:tcPr>
          <w:p>
            <w:pPr>
              <w:pStyle w:val="12"/>
            </w:pPr>
            <w:r>
              <w:t>303.14</w:t>
            </w:r>
          </w:p>
        </w:tc>
        <w:tc>
          <w:tcPr>
            <w:tcW w:w="1134" w:type="dxa"/>
            <w:vAlign w:val="center"/>
          </w:tcPr>
          <w:p>
            <w:pPr>
              <w:pStyle w:val="12"/>
            </w:pPr>
            <w:r>
              <w:t>303.14</w:t>
            </w:r>
          </w:p>
        </w:tc>
        <w:tc>
          <w:tcPr>
            <w:tcW w:w="1134" w:type="dxa"/>
            <w:vAlign w:val="center"/>
          </w:tcPr>
          <w:p>
            <w:pPr>
              <w:pStyle w:val="12"/>
            </w:pPr>
            <w:r>
              <w:t>303.14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130.79</w:t>
            </w:r>
          </w:p>
        </w:tc>
        <w:tc>
          <w:tcPr>
            <w:tcW w:w="1134" w:type="dxa"/>
            <w:vAlign w:val="center"/>
          </w:tcPr>
          <w:p>
            <w:pPr>
              <w:pStyle w:val="12"/>
            </w:pPr>
            <w:r>
              <w:t>130.79</w:t>
            </w:r>
          </w:p>
        </w:tc>
        <w:tc>
          <w:tcPr>
            <w:tcW w:w="1134" w:type="dxa"/>
            <w:vAlign w:val="center"/>
          </w:tcPr>
          <w:p>
            <w:pPr>
              <w:pStyle w:val="12"/>
            </w:pPr>
            <w:r>
              <w:t>130.79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20808</w:t>
            </w:r>
          </w:p>
        </w:tc>
        <w:tc>
          <w:tcPr>
            <w:tcW w:w="1559" w:type="dxa"/>
            <w:vAlign w:val="center"/>
          </w:tcPr>
          <w:p>
            <w:pPr>
              <w:pStyle w:val="13"/>
            </w:pPr>
            <w:r>
              <w:t>抚恤</w:t>
            </w:r>
          </w:p>
        </w:tc>
        <w:tc>
          <w:tcPr>
            <w:tcW w:w="1134" w:type="dxa"/>
            <w:vAlign w:val="center"/>
          </w:tcPr>
          <w:p>
            <w:pPr>
              <w:pStyle w:val="12"/>
            </w:pPr>
            <w:r>
              <w:t>6.95</w:t>
            </w:r>
          </w:p>
        </w:tc>
        <w:tc>
          <w:tcPr>
            <w:tcW w:w="1134" w:type="dxa"/>
            <w:vAlign w:val="center"/>
          </w:tcPr>
          <w:p>
            <w:pPr>
              <w:pStyle w:val="12"/>
            </w:pPr>
            <w:r>
              <w:t>6.95</w:t>
            </w:r>
          </w:p>
        </w:tc>
        <w:tc>
          <w:tcPr>
            <w:tcW w:w="1134" w:type="dxa"/>
            <w:vAlign w:val="center"/>
          </w:tcPr>
          <w:p>
            <w:pPr>
              <w:pStyle w:val="12"/>
            </w:pPr>
            <w:r>
              <w:t>6.95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2080801</w:t>
            </w:r>
          </w:p>
        </w:tc>
        <w:tc>
          <w:tcPr>
            <w:tcW w:w="1559" w:type="dxa"/>
            <w:vAlign w:val="center"/>
          </w:tcPr>
          <w:p>
            <w:pPr>
              <w:pStyle w:val="13"/>
            </w:pPr>
            <w:r>
              <w:t>死亡抚恤</w:t>
            </w:r>
          </w:p>
        </w:tc>
        <w:tc>
          <w:tcPr>
            <w:tcW w:w="1134" w:type="dxa"/>
            <w:vAlign w:val="center"/>
          </w:tcPr>
          <w:p>
            <w:pPr>
              <w:pStyle w:val="12"/>
            </w:pPr>
            <w:r>
              <w:t>0.94</w:t>
            </w:r>
          </w:p>
        </w:tc>
        <w:tc>
          <w:tcPr>
            <w:tcW w:w="1134" w:type="dxa"/>
            <w:vAlign w:val="center"/>
          </w:tcPr>
          <w:p>
            <w:pPr>
              <w:pStyle w:val="12"/>
            </w:pPr>
            <w:r>
              <w:t>0.94</w:t>
            </w:r>
          </w:p>
        </w:tc>
        <w:tc>
          <w:tcPr>
            <w:tcW w:w="1134" w:type="dxa"/>
            <w:vAlign w:val="center"/>
          </w:tcPr>
          <w:p>
            <w:pPr>
              <w:pStyle w:val="12"/>
            </w:pPr>
            <w:r>
              <w:t>0.94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18</w:t>
            </w:r>
          </w:p>
        </w:tc>
        <w:tc>
          <w:tcPr>
            <w:tcW w:w="992" w:type="dxa"/>
            <w:vAlign w:val="center"/>
          </w:tcPr>
          <w:p>
            <w:pPr>
              <w:pStyle w:val="13"/>
            </w:pPr>
            <w:r>
              <w:t>2080802</w:t>
            </w:r>
          </w:p>
        </w:tc>
        <w:tc>
          <w:tcPr>
            <w:tcW w:w="1559" w:type="dxa"/>
            <w:vAlign w:val="center"/>
          </w:tcPr>
          <w:p>
            <w:pPr>
              <w:pStyle w:val="13"/>
            </w:pPr>
            <w:r>
              <w:t>伤残抚恤</w:t>
            </w:r>
          </w:p>
        </w:tc>
        <w:tc>
          <w:tcPr>
            <w:tcW w:w="1134" w:type="dxa"/>
            <w:vAlign w:val="center"/>
          </w:tcPr>
          <w:p>
            <w:pPr>
              <w:pStyle w:val="12"/>
            </w:pPr>
            <w:r>
              <w:t>6.01</w:t>
            </w:r>
          </w:p>
        </w:tc>
        <w:tc>
          <w:tcPr>
            <w:tcW w:w="1134" w:type="dxa"/>
            <w:vAlign w:val="center"/>
          </w:tcPr>
          <w:p>
            <w:pPr>
              <w:pStyle w:val="12"/>
            </w:pPr>
            <w:r>
              <w:t>6.01</w:t>
            </w:r>
          </w:p>
        </w:tc>
        <w:tc>
          <w:tcPr>
            <w:tcW w:w="1134" w:type="dxa"/>
            <w:vAlign w:val="center"/>
          </w:tcPr>
          <w:p>
            <w:pPr>
              <w:pStyle w:val="12"/>
            </w:pPr>
            <w:r>
              <w:t>6.01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19</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71.60</w:t>
            </w:r>
          </w:p>
        </w:tc>
        <w:tc>
          <w:tcPr>
            <w:tcW w:w="1134" w:type="dxa"/>
            <w:vAlign w:val="center"/>
          </w:tcPr>
          <w:p>
            <w:pPr>
              <w:pStyle w:val="12"/>
            </w:pPr>
            <w:r>
              <w:t>71.60</w:t>
            </w:r>
          </w:p>
        </w:tc>
        <w:tc>
          <w:tcPr>
            <w:tcW w:w="1134" w:type="dxa"/>
            <w:vAlign w:val="center"/>
          </w:tcPr>
          <w:p>
            <w:pPr>
              <w:pStyle w:val="12"/>
            </w:pPr>
            <w:r>
              <w:t>71.60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20</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71.60</w:t>
            </w:r>
          </w:p>
        </w:tc>
        <w:tc>
          <w:tcPr>
            <w:tcW w:w="1134" w:type="dxa"/>
            <w:vAlign w:val="center"/>
          </w:tcPr>
          <w:p>
            <w:pPr>
              <w:pStyle w:val="12"/>
            </w:pPr>
            <w:r>
              <w:t>71.60</w:t>
            </w:r>
          </w:p>
        </w:tc>
        <w:tc>
          <w:tcPr>
            <w:tcW w:w="1134" w:type="dxa"/>
            <w:vAlign w:val="center"/>
          </w:tcPr>
          <w:p>
            <w:pPr>
              <w:pStyle w:val="12"/>
            </w:pPr>
            <w:r>
              <w:t>71.60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21</w:t>
            </w:r>
          </w:p>
        </w:tc>
        <w:tc>
          <w:tcPr>
            <w:tcW w:w="992" w:type="dxa"/>
            <w:vAlign w:val="center"/>
          </w:tcPr>
          <w:p>
            <w:pPr>
              <w:pStyle w:val="13"/>
            </w:pPr>
            <w:r>
              <w:t>2101101</w:t>
            </w:r>
          </w:p>
        </w:tc>
        <w:tc>
          <w:tcPr>
            <w:tcW w:w="1559" w:type="dxa"/>
            <w:vAlign w:val="center"/>
          </w:tcPr>
          <w:p>
            <w:pPr>
              <w:pStyle w:val="13"/>
            </w:pPr>
            <w:r>
              <w:t>行政单位医疗</w:t>
            </w:r>
          </w:p>
        </w:tc>
        <w:tc>
          <w:tcPr>
            <w:tcW w:w="1134" w:type="dxa"/>
            <w:vAlign w:val="center"/>
          </w:tcPr>
          <w:p>
            <w:pPr>
              <w:pStyle w:val="12"/>
            </w:pPr>
            <w:r>
              <w:t>63.43</w:t>
            </w:r>
          </w:p>
        </w:tc>
        <w:tc>
          <w:tcPr>
            <w:tcW w:w="1134" w:type="dxa"/>
            <w:vAlign w:val="center"/>
          </w:tcPr>
          <w:p>
            <w:pPr>
              <w:pStyle w:val="12"/>
            </w:pPr>
            <w:r>
              <w:t>63.43</w:t>
            </w:r>
          </w:p>
        </w:tc>
        <w:tc>
          <w:tcPr>
            <w:tcW w:w="1134" w:type="dxa"/>
            <w:vAlign w:val="center"/>
          </w:tcPr>
          <w:p>
            <w:pPr>
              <w:pStyle w:val="12"/>
            </w:pPr>
            <w:r>
              <w:t>63.43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22</w:t>
            </w:r>
          </w:p>
        </w:tc>
        <w:tc>
          <w:tcPr>
            <w:tcW w:w="992" w:type="dxa"/>
            <w:vAlign w:val="center"/>
          </w:tcPr>
          <w:p>
            <w:pPr>
              <w:pStyle w:val="13"/>
            </w:pPr>
            <w:r>
              <w:t>2101103</w:t>
            </w:r>
          </w:p>
        </w:tc>
        <w:tc>
          <w:tcPr>
            <w:tcW w:w="1559" w:type="dxa"/>
            <w:vAlign w:val="center"/>
          </w:tcPr>
          <w:p>
            <w:pPr>
              <w:pStyle w:val="13"/>
            </w:pPr>
            <w:r>
              <w:t>公务员医疗补助</w:t>
            </w:r>
          </w:p>
        </w:tc>
        <w:tc>
          <w:tcPr>
            <w:tcW w:w="1134" w:type="dxa"/>
            <w:vAlign w:val="center"/>
          </w:tcPr>
          <w:p>
            <w:pPr>
              <w:pStyle w:val="12"/>
            </w:pPr>
            <w:r>
              <w:t>8.17</w:t>
            </w:r>
          </w:p>
        </w:tc>
        <w:tc>
          <w:tcPr>
            <w:tcW w:w="1134" w:type="dxa"/>
            <w:vAlign w:val="center"/>
          </w:tcPr>
          <w:p>
            <w:pPr>
              <w:pStyle w:val="12"/>
            </w:pPr>
            <w:r>
              <w:t>8.17</w:t>
            </w:r>
          </w:p>
        </w:tc>
        <w:tc>
          <w:tcPr>
            <w:tcW w:w="1134" w:type="dxa"/>
            <w:vAlign w:val="center"/>
          </w:tcPr>
          <w:p>
            <w:pPr>
              <w:pStyle w:val="12"/>
            </w:pPr>
            <w:r>
              <w:t>8.17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23</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98.04</w:t>
            </w:r>
          </w:p>
        </w:tc>
        <w:tc>
          <w:tcPr>
            <w:tcW w:w="1134" w:type="dxa"/>
            <w:vAlign w:val="center"/>
          </w:tcPr>
          <w:p>
            <w:pPr>
              <w:pStyle w:val="12"/>
            </w:pPr>
            <w:r>
              <w:t>98.04</w:t>
            </w:r>
          </w:p>
        </w:tc>
        <w:tc>
          <w:tcPr>
            <w:tcW w:w="1134" w:type="dxa"/>
            <w:vAlign w:val="center"/>
          </w:tcPr>
          <w:p>
            <w:pPr>
              <w:pStyle w:val="12"/>
            </w:pPr>
            <w:r>
              <w:t>98.04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24</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98.04</w:t>
            </w:r>
          </w:p>
        </w:tc>
        <w:tc>
          <w:tcPr>
            <w:tcW w:w="1134" w:type="dxa"/>
            <w:vAlign w:val="center"/>
          </w:tcPr>
          <w:p>
            <w:pPr>
              <w:pStyle w:val="12"/>
            </w:pPr>
            <w:r>
              <w:t>98.04</w:t>
            </w:r>
          </w:p>
        </w:tc>
        <w:tc>
          <w:tcPr>
            <w:tcW w:w="1134" w:type="dxa"/>
            <w:vAlign w:val="center"/>
          </w:tcPr>
          <w:p>
            <w:pPr>
              <w:pStyle w:val="12"/>
            </w:pPr>
            <w:r>
              <w:t>98.04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25</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98.04</w:t>
            </w:r>
          </w:p>
        </w:tc>
        <w:tc>
          <w:tcPr>
            <w:tcW w:w="1134" w:type="dxa"/>
            <w:vAlign w:val="center"/>
          </w:tcPr>
          <w:p>
            <w:pPr>
              <w:pStyle w:val="12"/>
            </w:pPr>
            <w:r>
              <w:t>98.04</w:t>
            </w:r>
          </w:p>
        </w:tc>
        <w:tc>
          <w:tcPr>
            <w:tcW w:w="1134" w:type="dxa"/>
            <w:vAlign w:val="center"/>
          </w:tcPr>
          <w:p>
            <w:pPr>
              <w:pStyle w:val="12"/>
            </w:pPr>
            <w:r>
              <w:t>98.04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101承德市人民代表大会常务委员会办公室</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2412.38</w:t>
            </w:r>
          </w:p>
        </w:tc>
        <w:tc>
          <w:tcPr>
            <w:tcW w:w="1361" w:type="dxa"/>
            <w:vAlign w:val="center"/>
          </w:tcPr>
          <w:p>
            <w:pPr>
              <w:pStyle w:val="16"/>
            </w:pPr>
            <w:r>
              <w:t>1983.32</w:t>
            </w:r>
          </w:p>
        </w:tc>
        <w:tc>
          <w:tcPr>
            <w:tcW w:w="1361" w:type="dxa"/>
            <w:vAlign w:val="center"/>
          </w:tcPr>
          <w:p>
            <w:pPr>
              <w:pStyle w:val="16"/>
            </w:pPr>
            <w:r>
              <w:t>429.06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2"/>
            </w:pPr>
            <w:r>
              <w:t>1801.86</w:t>
            </w:r>
          </w:p>
        </w:tc>
        <w:tc>
          <w:tcPr>
            <w:tcW w:w="1361" w:type="dxa"/>
            <w:vAlign w:val="center"/>
          </w:tcPr>
          <w:p>
            <w:pPr>
              <w:pStyle w:val="12"/>
            </w:pPr>
            <w:r>
              <w:t>1372.80</w:t>
            </w:r>
          </w:p>
        </w:tc>
        <w:tc>
          <w:tcPr>
            <w:tcW w:w="1361" w:type="dxa"/>
            <w:vAlign w:val="center"/>
          </w:tcPr>
          <w:p>
            <w:pPr>
              <w:pStyle w:val="12"/>
            </w:pPr>
            <w:r>
              <w:t>429.06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20101</w:t>
            </w:r>
          </w:p>
        </w:tc>
        <w:tc>
          <w:tcPr>
            <w:tcW w:w="4535" w:type="dxa"/>
            <w:vAlign w:val="center"/>
          </w:tcPr>
          <w:p>
            <w:pPr>
              <w:pStyle w:val="13"/>
            </w:pPr>
            <w:r>
              <w:t>人大事务</w:t>
            </w:r>
          </w:p>
        </w:tc>
        <w:tc>
          <w:tcPr>
            <w:tcW w:w="1361" w:type="dxa"/>
            <w:vAlign w:val="center"/>
          </w:tcPr>
          <w:p>
            <w:pPr>
              <w:pStyle w:val="12"/>
            </w:pPr>
            <w:r>
              <w:t>1801.86</w:t>
            </w:r>
          </w:p>
        </w:tc>
        <w:tc>
          <w:tcPr>
            <w:tcW w:w="1361" w:type="dxa"/>
            <w:vAlign w:val="center"/>
          </w:tcPr>
          <w:p>
            <w:pPr>
              <w:pStyle w:val="12"/>
            </w:pPr>
            <w:r>
              <w:t>1372.80</w:t>
            </w:r>
          </w:p>
        </w:tc>
        <w:tc>
          <w:tcPr>
            <w:tcW w:w="1361" w:type="dxa"/>
            <w:vAlign w:val="center"/>
          </w:tcPr>
          <w:p>
            <w:pPr>
              <w:pStyle w:val="12"/>
            </w:pPr>
            <w:r>
              <w:t>429.06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2010101</w:t>
            </w:r>
          </w:p>
        </w:tc>
        <w:tc>
          <w:tcPr>
            <w:tcW w:w="4535" w:type="dxa"/>
            <w:vAlign w:val="center"/>
          </w:tcPr>
          <w:p>
            <w:pPr>
              <w:pStyle w:val="13"/>
            </w:pPr>
            <w:r>
              <w:t>行政运行</w:t>
            </w:r>
          </w:p>
        </w:tc>
        <w:tc>
          <w:tcPr>
            <w:tcW w:w="1361" w:type="dxa"/>
            <w:vAlign w:val="center"/>
          </w:tcPr>
          <w:p>
            <w:pPr>
              <w:pStyle w:val="12"/>
            </w:pPr>
            <w:r>
              <w:t>1372.80</w:t>
            </w:r>
          </w:p>
        </w:tc>
        <w:tc>
          <w:tcPr>
            <w:tcW w:w="1361" w:type="dxa"/>
            <w:vAlign w:val="center"/>
          </w:tcPr>
          <w:p>
            <w:pPr>
              <w:pStyle w:val="12"/>
            </w:pPr>
            <w:r>
              <w:t>1372.80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2010102</w:t>
            </w:r>
          </w:p>
        </w:tc>
        <w:tc>
          <w:tcPr>
            <w:tcW w:w="4535" w:type="dxa"/>
            <w:vAlign w:val="center"/>
          </w:tcPr>
          <w:p>
            <w:pPr>
              <w:pStyle w:val="13"/>
            </w:pPr>
            <w:r>
              <w:t>一般行政管理事务</w:t>
            </w:r>
          </w:p>
        </w:tc>
        <w:tc>
          <w:tcPr>
            <w:tcW w:w="1361" w:type="dxa"/>
            <w:vAlign w:val="center"/>
          </w:tcPr>
          <w:p>
            <w:pPr>
              <w:pStyle w:val="12"/>
            </w:pPr>
            <w:r>
              <w:t>39.06</w:t>
            </w:r>
          </w:p>
        </w:tc>
        <w:tc>
          <w:tcPr>
            <w:tcW w:w="1361" w:type="dxa"/>
            <w:vAlign w:val="center"/>
          </w:tcPr>
          <w:p>
            <w:pPr>
              <w:pStyle w:val="12"/>
            </w:pPr>
          </w:p>
        </w:tc>
        <w:tc>
          <w:tcPr>
            <w:tcW w:w="1361" w:type="dxa"/>
            <w:vAlign w:val="center"/>
          </w:tcPr>
          <w:p>
            <w:pPr>
              <w:pStyle w:val="12"/>
            </w:pPr>
            <w:r>
              <w:t>39.06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2010103</w:t>
            </w:r>
          </w:p>
        </w:tc>
        <w:tc>
          <w:tcPr>
            <w:tcW w:w="4535" w:type="dxa"/>
            <w:vAlign w:val="center"/>
          </w:tcPr>
          <w:p>
            <w:pPr>
              <w:pStyle w:val="13"/>
            </w:pPr>
            <w:r>
              <w:t>机关服务</w:t>
            </w:r>
          </w:p>
        </w:tc>
        <w:tc>
          <w:tcPr>
            <w:tcW w:w="1361" w:type="dxa"/>
            <w:vAlign w:val="center"/>
          </w:tcPr>
          <w:p>
            <w:pPr>
              <w:pStyle w:val="12"/>
            </w:pPr>
            <w:r>
              <w:t>60.00</w:t>
            </w:r>
          </w:p>
        </w:tc>
        <w:tc>
          <w:tcPr>
            <w:tcW w:w="1361" w:type="dxa"/>
            <w:vAlign w:val="center"/>
          </w:tcPr>
          <w:p>
            <w:pPr>
              <w:pStyle w:val="12"/>
            </w:pPr>
          </w:p>
        </w:tc>
        <w:tc>
          <w:tcPr>
            <w:tcW w:w="1361" w:type="dxa"/>
            <w:vAlign w:val="center"/>
          </w:tcPr>
          <w:p>
            <w:pPr>
              <w:pStyle w:val="12"/>
            </w:pPr>
            <w:r>
              <w:t>60.00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2010104</w:t>
            </w:r>
          </w:p>
        </w:tc>
        <w:tc>
          <w:tcPr>
            <w:tcW w:w="4535" w:type="dxa"/>
            <w:vAlign w:val="center"/>
          </w:tcPr>
          <w:p>
            <w:pPr>
              <w:pStyle w:val="13"/>
            </w:pPr>
            <w:r>
              <w:t>人大会议</w:t>
            </w:r>
          </w:p>
        </w:tc>
        <w:tc>
          <w:tcPr>
            <w:tcW w:w="1361" w:type="dxa"/>
            <w:vAlign w:val="center"/>
          </w:tcPr>
          <w:p>
            <w:pPr>
              <w:pStyle w:val="12"/>
            </w:pPr>
            <w:r>
              <w:t>170.00</w:t>
            </w:r>
          </w:p>
        </w:tc>
        <w:tc>
          <w:tcPr>
            <w:tcW w:w="1361" w:type="dxa"/>
            <w:vAlign w:val="center"/>
          </w:tcPr>
          <w:p>
            <w:pPr>
              <w:pStyle w:val="12"/>
            </w:pPr>
          </w:p>
        </w:tc>
        <w:tc>
          <w:tcPr>
            <w:tcW w:w="1361" w:type="dxa"/>
            <w:vAlign w:val="center"/>
          </w:tcPr>
          <w:p>
            <w:pPr>
              <w:pStyle w:val="12"/>
            </w:pPr>
            <w:r>
              <w:t>170.00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2010105</w:t>
            </w:r>
          </w:p>
        </w:tc>
        <w:tc>
          <w:tcPr>
            <w:tcW w:w="4535" w:type="dxa"/>
            <w:vAlign w:val="center"/>
          </w:tcPr>
          <w:p>
            <w:pPr>
              <w:pStyle w:val="13"/>
            </w:pPr>
            <w:r>
              <w:t>人大立法</w:t>
            </w:r>
          </w:p>
        </w:tc>
        <w:tc>
          <w:tcPr>
            <w:tcW w:w="1361" w:type="dxa"/>
            <w:vAlign w:val="center"/>
          </w:tcPr>
          <w:p>
            <w:pPr>
              <w:pStyle w:val="12"/>
            </w:pPr>
            <w:r>
              <w:t>25.00</w:t>
            </w:r>
          </w:p>
        </w:tc>
        <w:tc>
          <w:tcPr>
            <w:tcW w:w="1361" w:type="dxa"/>
            <w:vAlign w:val="center"/>
          </w:tcPr>
          <w:p>
            <w:pPr>
              <w:pStyle w:val="12"/>
            </w:pPr>
          </w:p>
        </w:tc>
        <w:tc>
          <w:tcPr>
            <w:tcW w:w="1361" w:type="dxa"/>
            <w:vAlign w:val="center"/>
          </w:tcPr>
          <w:p>
            <w:pPr>
              <w:pStyle w:val="12"/>
            </w:pPr>
            <w:r>
              <w:t>25.00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2010106</w:t>
            </w:r>
          </w:p>
        </w:tc>
        <w:tc>
          <w:tcPr>
            <w:tcW w:w="4535" w:type="dxa"/>
            <w:vAlign w:val="center"/>
          </w:tcPr>
          <w:p>
            <w:pPr>
              <w:pStyle w:val="13"/>
            </w:pPr>
            <w:r>
              <w:t>人大监督</w:t>
            </w:r>
          </w:p>
        </w:tc>
        <w:tc>
          <w:tcPr>
            <w:tcW w:w="1361" w:type="dxa"/>
            <w:vAlign w:val="center"/>
          </w:tcPr>
          <w:p>
            <w:pPr>
              <w:pStyle w:val="12"/>
            </w:pPr>
            <w:r>
              <w:t>25.00</w:t>
            </w:r>
          </w:p>
        </w:tc>
        <w:tc>
          <w:tcPr>
            <w:tcW w:w="1361" w:type="dxa"/>
            <w:vAlign w:val="center"/>
          </w:tcPr>
          <w:p>
            <w:pPr>
              <w:pStyle w:val="12"/>
            </w:pPr>
          </w:p>
        </w:tc>
        <w:tc>
          <w:tcPr>
            <w:tcW w:w="1361" w:type="dxa"/>
            <w:vAlign w:val="center"/>
          </w:tcPr>
          <w:p>
            <w:pPr>
              <w:pStyle w:val="12"/>
            </w:pPr>
            <w:r>
              <w:t>25.00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2010107</w:t>
            </w:r>
          </w:p>
        </w:tc>
        <w:tc>
          <w:tcPr>
            <w:tcW w:w="4535" w:type="dxa"/>
            <w:vAlign w:val="center"/>
          </w:tcPr>
          <w:p>
            <w:pPr>
              <w:pStyle w:val="13"/>
            </w:pPr>
            <w:r>
              <w:t>人大代表履职能力提升</w:t>
            </w:r>
          </w:p>
        </w:tc>
        <w:tc>
          <w:tcPr>
            <w:tcW w:w="1361" w:type="dxa"/>
            <w:vAlign w:val="center"/>
          </w:tcPr>
          <w:p>
            <w:pPr>
              <w:pStyle w:val="12"/>
            </w:pPr>
            <w:r>
              <w:t>70.00</w:t>
            </w:r>
          </w:p>
        </w:tc>
        <w:tc>
          <w:tcPr>
            <w:tcW w:w="1361" w:type="dxa"/>
            <w:vAlign w:val="center"/>
          </w:tcPr>
          <w:p>
            <w:pPr>
              <w:pStyle w:val="12"/>
            </w:pPr>
          </w:p>
        </w:tc>
        <w:tc>
          <w:tcPr>
            <w:tcW w:w="1361" w:type="dxa"/>
            <w:vAlign w:val="center"/>
          </w:tcPr>
          <w:p>
            <w:pPr>
              <w:pStyle w:val="12"/>
            </w:pPr>
            <w:r>
              <w:t>70.00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2010108</w:t>
            </w:r>
          </w:p>
        </w:tc>
        <w:tc>
          <w:tcPr>
            <w:tcW w:w="4535" w:type="dxa"/>
            <w:vAlign w:val="center"/>
          </w:tcPr>
          <w:p>
            <w:pPr>
              <w:pStyle w:val="13"/>
            </w:pPr>
            <w:r>
              <w:t>代表工作</w:t>
            </w:r>
          </w:p>
        </w:tc>
        <w:tc>
          <w:tcPr>
            <w:tcW w:w="1361" w:type="dxa"/>
            <w:vAlign w:val="center"/>
          </w:tcPr>
          <w:p>
            <w:pPr>
              <w:pStyle w:val="12"/>
            </w:pPr>
            <w:r>
              <w:t>40.00</w:t>
            </w:r>
          </w:p>
        </w:tc>
        <w:tc>
          <w:tcPr>
            <w:tcW w:w="1361" w:type="dxa"/>
            <w:vAlign w:val="center"/>
          </w:tcPr>
          <w:p>
            <w:pPr>
              <w:pStyle w:val="12"/>
            </w:pPr>
          </w:p>
        </w:tc>
        <w:tc>
          <w:tcPr>
            <w:tcW w:w="1361" w:type="dxa"/>
            <w:vAlign w:val="center"/>
          </w:tcPr>
          <w:p>
            <w:pPr>
              <w:pStyle w:val="12"/>
            </w:pPr>
            <w:r>
              <w:t>40.00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440.88</w:t>
            </w:r>
          </w:p>
        </w:tc>
        <w:tc>
          <w:tcPr>
            <w:tcW w:w="1361" w:type="dxa"/>
            <w:vAlign w:val="center"/>
          </w:tcPr>
          <w:p>
            <w:pPr>
              <w:pStyle w:val="12"/>
            </w:pPr>
            <w:r>
              <w:t>440.88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433.93</w:t>
            </w:r>
          </w:p>
        </w:tc>
        <w:tc>
          <w:tcPr>
            <w:tcW w:w="1361" w:type="dxa"/>
            <w:vAlign w:val="center"/>
          </w:tcPr>
          <w:p>
            <w:pPr>
              <w:pStyle w:val="12"/>
            </w:pPr>
            <w:r>
              <w:t>433.93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2080501</w:t>
            </w:r>
          </w:p>
        </w:tc>
        <w:tc>
          <w:tcPr>
            <w:tcW w:w="4535" w:type="dxa"/>
            <w:vAlign w:val="center"/>
          </w:tcPr>
          <w:p>
            <w:pPr>
              <w:pStyle w:val="13"/>
            </w:pPr>
            <w:r>
              <w:t>行政单位离退休</w:t>
            </w:r>
          </w:p>
        </w:tc>
        <w:tc>
          <w:tcPr>
            <w:tcW w:w="1361" w:type="dxa"/>
            <w:vAlign w:val="center"/>
          </w:tcPr>
          <w:p>
            <w:pPr>
              <w:pStyle w:val="12"/>
            </w:pPr>
            <w:r>
              <w:t>303.14</w:t>
            </w:r>
          </w:p>
        </w:tc>
        <w:tc>
          <w:tcPr>
            <w:tcW w:w="1361" w:type="dxa"/>
            <w:vAlign w:val="center"/>
          </w:tcPr>
          <w:p>
            <w:pPr>
              <w:pStyle w:val="12"/>
            </w:pPr>
            <w:r>
              <w:t>303.14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130.79</w:t>
            </w:r>
          </w:p>
        </w:tc>
        <w:tc>
          <w:tcPr>
            <w:tcW w:w="1361" w:type="dxa"/>
            <w:vAlign w:val="center"/>
          </w:tcPr>
          <w:p>
            <w:pPr>
              <w:pStyle w:val="12"/>
            </w:pPr>
            <w:r>
              <w:t>130.79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20808</w:t>
            </w:r>
          </w:p>
        </w:tc>
        <w:tc>
          <w:tcPr>
            <w:tcW w:w="4535" w:type="dxa"/>
            <w:vAlign w:val="center"/>
          </w:tcPr>
          <w:p>
            <w:pPr>
              <w:pStyle w:val="13"/>
            </w:pPr>
            <w:r>
              <w:t>抚恤</w:t>
            </w:r>
          </w:p>
        </w:tc>
        <w:tc>
          <w:tcPr>
            <w:tcW w:w="1361" w:type="dxa"/>
            <w:vAlign w:val="center"/>
          </w:tcPr>
          <w:p>
            <w:pPr>
              <w:pStyle w:val="12"/>
            </w:pPr>
            <w:r>
              <w:t>6.95</w:t>
            </w:r>
          </w:p>
        </w:tc>
        <w:tc>
          <w:tcPr>
            <w:tcW w:w="1361" w:type="dxa"/>
            <w:vAlign w:val="center"/>
          </w:tcPr>
          <w:p>
            <w:pPr>
              <w:pStyle w:val="12"/>
            </w:pPr>
            <w:r>
              <w:t>6.95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2080801</w:t>
            </w:r>
          </w:p>
        </w:tc>
        <w:tc>
          <w:tcPr>
            <w:tcW w:w="4535" w:type="dxa"/>
            <w:vAlign w:val="center"/>
          </w:tcPr>
          <w:p>
            <w:pPr>
              <w:pStyle w:val="13"/>
            </w:pPr>
            <w:r>
              <w:t>死亡抚恤</w:t>
            </w:r>
          </w:p>
        </w:tc>
        <w:tc>
          <w:tcPr>
            <w:tcW w:w="1361" w:type="dxa"/>
            <w:vAlign w:val="center"/>
          </w:tcPr>
          <w:p>
            <w:pPr>
              <w:pStyle w:val="12"/>
            </w:pPr>
            <w:r>
              <w:t>0.94</w:t>
            </w:r>
          </w:p>
        </w:tc>
        <w:tc>
          <w:tcPr>
            <w:tcW w:w="1361" w:type="dxa"/>
            <w:vAlign w:val="center"/>
          </w:tcPr>
          <w:p>
            <w:pPr>
              <w:pStyle w:val="12"/>
            </w:pPr>
            <w:r>
              <w:t>0.94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992" w:type="dxa"/>
            <w:vAlign w:val="center"/>
          </w:tcPr>
          <w:p>
            <w:pPr>
              <w:pStyle w:val="13"/>
            </w:pPr>
            <w:r>
              <w:t>2080802</w:t>
            </w:r>
          </w:p>
        </w:tc>
        <w:tc>
          <w:tcPr>
            <w:tcW w:w="4535" w:type="dxa"/>
            <w:vAlign w:val="center"/>
          </w:tcPr>
          <w:p>
            <w:pPr>
              <w:pStyle w:val="13"/>
            </w:pPr>
            <w:r>
              <w:t>伤残抚恤</w:t>
            </w:r>
          </w:p>
        </w:tc>
        <w:tc>
          <w:tcPr>
            <w:tcW w:w="1361" w:type="dxa"/>
            <w:vAlign w:val="center"/>
          </w:tcPr>
          <w:p>
            <w:pPr>
              <w:pStyle w:val="12"/>
            </w:pPr>
            <w:r>
              <w:t>6.01</w:t>
            </w:r>
          </w:p>
        </w:tc>
        <w:tc>
          <w:tcPr>
            <w:tcW w:w="1361" w:type="dxa"/>
            <w:vAlign w:val="center"/>
          </w:tcPr>
          <w:p>
            <w:pPr>
              <w:pStyle w:val="12"/>
            </w:pPr>
            <w:r>
              <w:t>6.01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71.60</w:t>
            </w:r>
          </w:p>
        </w:tc>
        <w:tc>
          <w:tcPr>
            <w:tcW w:w="1361" w:type="dxa"/>
            <w:vAlign w:val="center"/>
          </w:tcPr>
          <w:p>
            <w:pPr>
              <w:pStyle w:val="12"/>
            </w:pPr>
            <w:r>
              <w:t>71.60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71.60</w:t>
            </w:r>
          </w:p>
        </w:tc>
        <w:tc>
          <w:tcPr>
            <w:tcW w:w="1361" w:type="dxa"/>
            <w:vAlign w:val="center"/>
          </w:tcPr>
          <w:p>
            <w:pPr>
              <w:pStyle w:val="12"/>
            </w:pPr>
            <w:r>
              <w:t>71.60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992" w:type="dxa"/>
            <w:vAlign w:val="center"/>
          </w:tcPr>
          <w:p>
            <w:pPr>
              <w:pStyle w:val="13"/>
            </w:pPr>
            <w:r>
              <w:t>2101101</w:t>
            </w:r>
          </w:p>
        </w:tc>
        <w:tc>
          <w:tcPr>
            <w:tcW w:w="4535" w:type="dxa"/>
            <w:vAlign w:val="center"/>
          </w:tcPr>
          <w:p>
            <w:pPr>
              <w:pStyle w:val="13"/>
            </w:pPr>
            <w:r>
              <w:t>行政单位医疗</w:t>
            </w:r>
          </w:p>
        </w:tc>
        <w:tc>
          <w:tcPr>
            <w:tcW w:w="1361" w:type="dxa"/>
            <w:vAlign w:val="center"/>
          </w:tcPr>
          <w:p>
            <w:pPr>
              <w:pStyle w:val="12"/>
            </w:pPr>
            <w:r>
              <w:t>63.43</w:t>
            </w:r>
          </w:p>
        </w:tc>
        <w:tc>
          <w:tcPr>
            <w:tcW w:w="1361" w:type="dxa"/>
            <w:vAlign w:val="center"/>
          </w:tcPr>
          <w:p>
            <w:pPr>
              <w:pStyle w:val="12"/>
            </w:pPr>
            <w:r>
              <w:t>63.43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992" w:type="dxa"/>
            <w:vAlign w:val="center"/>
          </w:tcPr>
          <w:p>
            <w:pPr>
              <w:pStyle w:val="13"/>
            </w:pPr>
            <w:r>
              <w:t>2101103</w:t>
            </w:r>
          </w:p>
        </w:tc>
        <w:tc>
          <w:tcPr>
            <w:tcW w:w="4535" w:type="dxa"/>
            <w:vAlign w:val="center"/>
          </w:tcPr>
          <w:p>
            <w:pPr>
              <w:pStyle w:val="13"/>
            </w:pPr>
            <w:r>
              <w:t>公务员医疗补助</w:t>
            </w:r>
          </w:p>
        </w:tc>
        <w:tc>
          <w:tcPr>
            <w:tcW w:w="1361" w:type="dxa"/>
            <w:vAlign w:val="center"/>
          </w:tcPr>
          <w:p>
            <w:pPr>
              <w:pStyle w:val="12"/>
            </w:pPr>
            <w:r>
              <w:t>8.17</w:t>
            </w:r>
          </w:p>
        </w:tc>
        <w:tc>
          <w:tcPr>
            <w:tcW w:w="1361" w:type="dxa"/>
            <w:vAlign w:val="center"/>
          </w:tcPr>
          <w:p>
            <w:pPr>
              <w:pStyle w:val="12"/>
            </w:pPr>
            <w:r>
              <w:t>8.17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98.04</w:t>
            </w:r>
          </w:p>
        </w:tc>
        <w:tc>
          <w:tcPr>
            <w:tcW w:w="1361" w:type="dxa"/>
            <w:vAlign w:val="center"/>
          </w:tcPr>
          <w:p>
            <w:pPr>
              <w:pStyle w:val="12"/>
            </w:pPr>
            <w:r>
              <w:t>98.04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98.04</w:t>
            </w:r>
          </w:p>
        </w:tc>
        <w:tc>
          <w:tcPr>
            <w:tcW w:w="1361" w:type="dxa"/>
            <w:vAlign w:val="center"/>
          </w:tcPr>
          <w:p>
            <w:pPr>
              <w:pStyle w:val="12"/>
            </w:pPr>
            <w:r>
              <w:t>98.04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98.04</w:t>
            </w:r>
          </w:p>
        </w:tc>
        <w:tc>
          <w:tcPr>
            <w:tcW w:w="1361" w:type="dxa"/>
            <w:vAlign w:val="center"/>
          </w:tcPr>
          <w:p>
            <w:pPr>
              <w:pStyle w:val="12"/>
            </w:pPr>
            <w:r>
              <w:t>98.04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101承德市人民代表大会常务委员会办公室</w:t>
            </w:r>
          </w:p>
        </w:tc>
        <w:tc>
          <w:tcPr>
            <w:tcW w:w="3402" w:type="dxa"/>
            <w:tcBorders>
              <w:top w:val="single" w:color="FFFFFF" w:sz="6" w:space="0"/>
              <w:left w:val="single" w:color="FFFFFF" w:sz="6" w:space="0"/>
              <w:right w:val="single" w:color="FFFFFF" w:sz="6" w:space="0"/>
            </w:tcBorders>
            <w:vAlign w:val="center"/>
          </w:tcPr>
          <w:p>
            <w:pPr>
              <w:pStyle w:val="9"/>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2412.38</w:t>
            </w:r>
          </w:p>
        </w:tc>
        <w:tc>
          <w:tcPr>
            <w:tcW w:w="3402" w:type="dxa"/>
            <w:vAlign w:val="center"/>
          </w:tcPr>
          <w:p>
            <w:pPr>
              <w:pStyle w:val="13"/>
            </w:pPr>
            <w:r>
              <w:t>一、一般公共服务支出</w:t>
            </w:r>
          </w:p>
        </w:tc>
        <w:tc>
          <w:tcPr>
            <w:tcW w:w="1474" w:type="dxa"/>
            <w:vAlign w:val="center"/>
          </w:tcPr>
          <w:p>
            <w:pPr>
              <w:pStyle w:val="12"/>
            </w:pPr>
            <w:r>
              <w:t>1801.86</w:t>
            </w:r>
          </w:p>
        </w:tc>
        <w:tc>
          <w:tcPr>
            <w:tcW w:w="1474" w:type="dxa"/>
            <w:vAlign w:val="center"/>
          </w:tcPr>
          <w:p>
            <w:pPr>
              <w:pStyle w:val="12"/>
            </w:pPr>
            <w:r>
              <w:t>1801.86</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440.88</w:t>
            </w:r>
          </w:p>
        </w:tc>
        <w:tc>
          <w:tcPr>
            <w:tcW w:w="1474" w:type="dxa"/>
            <w:vAlign w:val="center"/>
          </w:tcPr>
          <w:p>
            <w:pPr>
              <w:pStyle w:val="12"/>
            </w:pPr>
            <w:r>
              <w:t>440.88</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71.60</w:t>
            </w:r>
          </w:p>
        </w:tc>
        <w:tc>
          <w:tcPr>
            <w:tcW w:w="1474" w:type="dxa"/>
            <w:vAlign w:val="center"/>
          </w:tcPr>
          <w:p>
            <w:pPr>
              <w:pStyle w:val="12"/>
            </w:pPr>
            <w:r>
              <w:t>71.60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98.04</w:t>
            </w:r>
          </w:p>
        </w:tc>
        <w:tc>
          <w:tcPr>
            <w:tcW w:w="1474" w:type="dxa"/>
            <w:vAlign w:val="center"/>
          </w:tcPr>
          <w:p>
            <w:pPr>
              <w:pStyle w:val="12"/>
            </w:pPr>
            <w:r>
              <w:t>98.04</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三十一、往来性支出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2412.38</w:t>
            </w:r>
          </w:p>
        </w:tc>
        <w:tc>
          <w:tcPr>
            <w:tcW w:w="3402" w:type="dxa"/>
            <w:vAlign w:val="center"/>
          </w:tcPr>
          <w:p>
            <w:pPr>
              <w:pStyle w:val="15"/>
            </w:pPr>
            <w:r>
              <w:t>本年支出合计</w:t>
            </w:r>
          </w:p>
        </w:tc>
        <w:tc>
          <w:tcPr>
            <w:tcW w:w="1474" w:type="dxa"/>
            <w:vAlign w:val="center"/>
          </w:tcPr>
          <w:p>
            <w:pPr>
              <w:pStyle w:val="16"/>
            </w:pPr>
            <w:r>
              <w:t>2412.38</w:t>
            </w:r>
          </w:p>
        </w:tc>
        <w:tc>
          <w:tcPr>
            <w:tcW w:w="1474" w:type="dxa"/>
            <w:vAlign w:val="center"/>
          </w:tcPr>
          <w:p>
            <w:pPr>
              <w:pStyle w:val="16"/>
            </w:pPr>
            <w:r>
              <w:t>2412.38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2412.38</w:t>
            </w:r>
          </w:p>
        </w:tc>
        <w:tc>
          <w:tcPr>
            <w:tcW w:w="3402" w:type="dxa"/>
            <w:vAlign w:val="center"/>
          </w:tcPr>
          <w:p>
            <w:pPr>
              <w:pStyle w:val="15"/>
            </w:pPr>
            <w:r>
              <w:t>支出总计</w:t>
            </w:r>
          </w:p>
        </w:tc>
        <w:tc>
          <w:tcPr>
            <w:tcW w:w="1474" w:type="dxa"/>
            <w:vAlign w:val="center"/>
          </w:tcPr>
          <w:p>
            <w:pPr>
              <w:pStyle w:val="16"/>
            </w:pPr>
            <w:r>
              <w:t>2412.38</w:t>
            </w:r>
          </w:p>
        </w:tc>
        <w:tc>
          <w:tcPr>
            <w:tcW w:w="1474" w:type="dxa"/>
            <w:vAlign w:val="center"/>
          </w:tcPr>
          <w:p>
            <w:pPr>
              <w:pStyle w:val="16"/>
            </w:pPr>
            <w:r>
              <w:t>2412.38</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101承德市人民代表大会常务委员会办公室</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2412.38</w:t>
            </w:r>
          </w:p>
        </w:tc>
        <w:tc>
          <w:tcPr>
            <w:tcW w:w="2551" w:type="dxa"/>
            <w:vAlign w:val="center"/>
          </w:tcPr>
          <w:p>
            <w:pPr>
              <w:pStyle w:val="16"/>
            </w:pPr>
            <w:r>
              <w:t>1983.32</w:t>
            </w:r>
          </w:p>
        </w:tc>
        <w:tc>
          <w:tcPr>
            <w:tcW w:w="2551" w:type="dxa"/>
            <w:vAlign w:val="center"/>
          </w:tcPr>
          <w:p>
            <w:pPr>
              <w:pStyle w:val="16"/>
            </w:pPr>
            <w:r>
              <w:t>429.06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1801.86</w:t>
            </w:r>
          </w:p>
        </w:tc>
        <w:tc>
          <w:tcPr>
            <w:tcW w:w="2551" w:type="dxa"/>
            <w:vAlign w:val="center"/>
          </w:tcPr>
          <w:p>
            <w:pPr>
              <w:pStyle w:val="12"/>
            </w:pPr>
            <w:r>
              <w:t>1372.80</w:t>
            </w:r>
          </w:p>
        </w:tc>
        <w:tc>
          <w:tcPr>
            <w:tcW w:w="2551" w:type="dxa"/>
            <w:vAlign w:val="center"/>
          </w:tcPr>
          <w:p>
            <w:pPr>
              <w:pStyle w:val="12"/>
            </w:pPr>
            <w:r>
              <w:t>429.06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20101</w:t>
            </w:r>
          </w:p>
        </w:tc>
        <w:tc>
          <w:tcPr>
            <w:tcW w:w="4535" w:type="dxa"/>
            <w:vAlign w:val="center"/>
          </w:tcPr>
          <w:p>
            <w:pPr>
              <w:pStyle w:val="13"/>
            </w:pPr>
            <w:r>
              <w:t>人大事务</w:t>
            </w:r>
          </w:p>
        </w:tc>
        <w:tc>
          <w:tcPr>
            <w:tcW w:w="2551" w:type="dxa"/>
            <w:vAlign w:val="center"/>
          </w:tcPr>
          <w:p>
            <w:pPr>
              <w:pStyle w:val="12"/>
            </w:pPr>
            <w:r>
              <w:t>1801.86</w:t>
            </w:r>
          </w:p>
        </w:tc>
        <w:tc>
          <w:tcPr>
            <w:tcW w:w="2551" w:type="dxa"/>
            <w:vAlign w:val="center"/>
          </w:tcPr>
          <w:p>
            <w:pPr>
              <w:pStyle w:val="12"/>
            </w:pPr>
            <w:r>
              <w:t>1372.80</w:t>
            </w:r>
          </w:p>
        </w:tc>
        <w:tc>
          <w:tcPr>
            <w:tcW w:w="2551" w:type="dxa"/>
            <w:vAlign w:val="center"/>
          </w:tcPr>
          <w:p>
            <w:pPr>
              <w:pStyle w:val="12"/>
            </w:pPr>
            <w:r>
              <w:t>429.06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2010101</w:t>
            </w:r>
          </w:p>
        </w:tc>
        <w:tc>
          <w:tcPr>
            <w:tcW w:w="4535" w:type="dxa"/>
            <w:vAlign w:val="center"/>
          </w:tcPr>
          <w:p>
            <w:pPr>
              <w:pStyle w:val="13"/>
            </w:pPr>
            <w:r>
              <w:t>行政运行</w:t>
            </w:r>
          </w:p>
        </w:tc>
        <w:tc>
          <w:tcPr>
            <w:tcW w:w="2551" w:type="dxa"/>
            <w:vAlign w:val="center"/>
          </w:tcPr>
          <w:p>
            <w:pPr>
              <w:pStyle w:val="12"/>
            </w:pPr>
            <w:r>
              <w:t>1372.80</w:t>
            </w:r>
          </w:p>
        </w:tc>
        <w:tc>
          <w:tcPr>
            <w:tcW w:w="2551" w:type="dxa"/>
            <w:vAlign w:val="center"/>
          </w:tcPr>
          <w:p>
            <w:pPr>
              <w:pStyle w:val="12"/>
            </w:pPr>
            <w:r>
              <w:t>1372.80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2010102</w:t>
            </w:r>
          </w:p>
        </w:tc>
        <w:tc>
          <w:tcPr>
            <w:tcW w:w="4535" w:type="dxa"/>
            <w:vAlign w:val="center"/>
          </w:tcPr>
          <w:p>
            <w:pPr>
              <w:pStyle w:val="13"/>
            </w:pPr>
            <w:r>
              <w:t>一般行政管理事务</w:t>
            </w:r>
          </w:p>
        </w:tc>
        <w:tc>
          <w:tcPr>
            <w:tcW w:w="2551" w:type="dxa"/>
            <w:vAlign w:val="center"/>
          </w:tcPr>
          <w:p>
            <w:pPr>
              <w:pStyle w:val="12"/>
            </w:pPr>
            <w:r>
              <w:t>39.06</w:t>
            </w:r>
          </w:p>
        </w:tc>
        <w:tc>
          <w:tcPr>
            <w:tcW w:w="2551" w:type="dxa"/>
            <w:vAlign w:val="center"/>
          </w:tcPr>
          <w:p>
            <w:pPr>
              <w:pStyle w:val="12"/>
            </w:pPr>
          </w:p>
        </w:tc>
        <w:tc>
          <w:tcPr>
            <w:tcW w:w="2551" w:type="dxa"/>
            <w:vAlign w:val="center"/>
          </w:tcPr>
          <w:p>
            <w:pPr>
              <w:pStyle w:val="12"/>
            </w:pPr>
            <w:r>
              <w:t>39.06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2010103</w:t>
            </w:r>
          </w:p>
        </w:tc>
        <w:tc>
          <w:tcPr>
            <w:tcW w:w="4535" w:type="dxa"/>
            <w:vAlign w:val="center"/>
          </w:tcPr>
          <w:p>
            <w:pPr>
              <w:pStyle w:val="13"/>
            </w:pPr>
            <w:r>
              <w:t>机关服务</w:t>
            </w:r>
          </w:p>
        </w:tc>
        <w:tc>
          <w:tcPr>
            <w:tcW w:w="2551" w:type="dxa"/>
            <w:vAlign w:val="center"/>
          </w:tcPr>
          <w:p>
            <w:pPr>
              <w:pStyle w:val="12"/>
            </w:pPr>
            <w:r>
              <w:t>60.00</w:t>
            </w:r>
          </w:p>
        </w:tc>
        <w:tc>
          <w:tcPr>
            <w:tcW w:w="2551" w:type="dxa"/>
            <w:vAlign w:val="center"/>
          </w:tcPr>
          <w:p>
            <w:pPr>
              <w:pStyle w:val="12"/>
            </w:pPr>
          </w:p>
        </w:tc>
        <w:tc>
          <w:tcPr>
            <w:tcW w:w="2551" w:type="dxa"/>
            <w:vAlign w:val="center"/>
          </w:tcPr>
          <w:p>
            <w:pPr>
              <w:pStyle w:val="12"/>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2010104</w:t>
            </w:r>
          </w:p>
        </w:tc>
        <w:tc>
          <w:tcPr>
            <w:tcW w:w="4535" w:type="dxa"/>
            <w:vAlign w:val="center"/>
          </w:tcPr>
          <w:p>
            <w:pPr>
              <w:pStyle w:val="13"/>
            </w:pPr>
            <w:r>
              <w:t>人大会议</w:t>
            </w:r>
          </w:p>
        </w:tc>
        <w:tc>
          <w:tcPr>
            <w:tcW w:w="2551" w:type="dxa"/>
            <w:vAlign w:val="center"/>
          </w:tcPr>
          <w:p>
            <w:pPr>
              <w:pStyle w:val="12"/>
            </w:pPr>
            <w:r>
              <w:t>170.00</w:t>
            </w:r>
          </w:p>
        </w:tc>
        <w:tc>
          <w:tcPr>
            <w:tcW w:w="2551" w:type="dxa"/>
            <w:vAlign w:val="center"/>
          </w:tcPr>
          <w:p>
            <w:pPr>
              <w:pStyle w:val="12"/>
            </w:pPr>
          </w:p>
        </w:tc>
        <w:tc>
          <w:tcPr>
            <w:tcW w:w="2551" w:type="dxa"/>
            <w:vAlign w:val="center"/>
          </w:tcPr>
          <w:p>
            <w:pPr>
              <w:pStyle w:val="12"/>
            </w:pPr>
            <w:r>
              <w:t>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2010105</w:t>
            </w:r>
          </w:p>
        </w:tc>
        <w:tc>
          <w:tcPr>
            <w:tcW w:w="4535" w:type="dxa"/>
            <w:vAlign w:val="center"/>
          </w:tcPr>
          <w:p>
            <w:pPr>
              <w:pStyle w:val="13"/>
            </w:pPr>
            <w:r>
              <w:t>人大立法</w:t>
            </w:r>
          </w:p>
        </w:tc>
        <w:tc>
          <w:tcPr>
            <w:tcW w:w="2551" w:type="dxa"/>
            <w:vAlign w:val="center"/>
          </w:tcPr>
          <w:p>
            <w:pPr>
              <w:pStyle w:val="12"/>
            </w:pPr>
            <w:r>
              <w:t>25.00</w:t>
            </w:r>
          </w:p>
        </w:tc>
        <w:tc>
          <w:tcPr>
            <w:tcW w:w="2551" w:type="dxa"/>
            <w:vAlign w:val="center"/>
          </w:tcPr>
          <w:p>
            <w:pPr>
              <w:pStyle w:val="12"/>
            </w:pPr>
          </w:p>
        </w:tc>
        <w:tc>
          <w:tcPr>
            <w:tcW w:w="2551" w:type="dxa"/>
            <w:vAlign w:val="center"/>
          </w:tcPr>
          <w:p>
            <w:pPr>
              <w:pStyle w:val="12"/>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2010106</w:t>
            </w:r>
          </w:p>
        </w:tc>
        <w:tc>
          <w:tcPr>
            <w:tcW w:w="4535" w:type="dxa"/>
            <w:vAlign w:val="center"/>
          </w:tcPr>
          <w:p>
            <w:pPr>
              <w:pStyle w:val="13"/>
            </w:pPr>
            <w:r>
              <w:t>人大监督</w:t>
            </w:r>
          </w:p>
        </w:tc>
        <w:tc>
          <w:tcPr>
            <w:tcW w:w="2551" w:type="dxa"/>
            <w:vAlign w:val="center"/>
          </w:tcPr>
          <w:p>
            <w:pPr>
              <w:pStyle w:val="12"/>
            </w:pPr>
            <w:r>
              <w:t>25.00</w:t>
            </w:r>
          </w:p>
        </w:tc>
        <w:tc>
          <w:tcPr>
            <w:tcW w:w="2551" w:type="dxa"/>
            <w:vAlign w:val="center"/>
          </w:tcPr>
          <w:p>
            <w:pPr>
              <w:pStyle w:val="12"/>
            </w:pPr>
          </w:p>
        </w:tc>
        <w:tc>
          <w:tcPr>
            <w:tcW w:w="2551" w:type="dxa"/>
            <w:vAlign w:val="center"/>
          </w:tcPr>
          <w:p>
            <w:pPr>
              <w:pStyle w:val="12"/>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2010107</w:t>
            </w:r>
          </w:p>
        </w:tc>
        <w:tc>
          <w:tcPr>
            <w:tcW w:w="4535" w:type="dxa"/>
            <w:vAlign w:val="center"/>
          </w:tcPr>
          <w:p>
            <w:pPr>
              <w:pStyle w:val="13"/>
            </w:pPr>
            <w:r>
              <w:t>人大代表履职能力提升</w:t>
            </w:r>
          </w:p>
        </w:tc>
        <w:tc>
          <w:tcPr>
            <w:tcW w:w="2551" w:type="dxa"/>
            <w:vAlign w:val="center"/>
          </w:tcPr>
          <w:p>
            <w:pPr>
              <w:pStyle w:val="12"/>
            </w:pPr>
            <w:r>
              <w:t>70.00</w:t>
            </w:r>
          </w:p>
        </w:tc>
        <w:tc>
          <w:tcPr>
            <w:tcW w:w="2551" w:type="dxa"/>
            <w:vAlign w:val="center"/>
          </w:tcPr>
          <w:p>
            <w:pPr>
              <w:pStyle w:val="12"/>
            </w:pPr>
          </w:p>
        </w:tc>
        <w:tc>
          <w:tcPr>
            <w:tcW w:w="2551" w:type="dxa"/>
            <w:vAlign w:val="center"/>
          </w:tcPr>
          <w:p>
            <w:pPr>
              <w:pStyle w:val="12"/>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2010108</w:t>
            </w:r>
          </w:p>
        </w:tc>
        <w:tc>
          <w:tcPr>
            <w:tcW w:w="4535" w:type="dxa"/>
            <w:vAlign w:val="center"/>
          </w:tcPr>
          <w:p>
            <w:pPr>
              <w:pStyle w:val="13"/>
            </w:pPr>
            <w:r>
              <w:t>代表工作</w:t>
            </w:r>
          </w:p>
        </w:tc>
        <w:tc>
          <w:tcPr>
            <w:tcW w:w="2551" w:type="dxa"/>
            <w:vAlign w:val="center"/>
          </w:tcPr>
          <w:p>
            <w:pPr>
              <w:pStyle w:val="12"/>
            </w:pPr>
            <w:r>
              <w:t>40.00</w:t>
            </w:r>
          </w:p>
        </w:tc>
        <w:tc>
          <w:tcPr>
            <w:tcW w:w="2551" w:type="dxa"/>
            <w:vAlign w:val="center"/>
          </w:tcPr>
          <w:p>
            <w:pPr>
              <w:pStyle w:val="12"/>
            </w:pPr>
          </w:p>
        </w:tc>
        <w:tc>
          <w:tcPr>
            <w:tcW w:w="2551" w:type="dxa"/>
            <w:vAlign w:val="center"/>
          </w:tcPr>
          <w:p>
            <w:pPr>
              <w:pStyle w:val="12"/>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440.88</w:t>
            </w:r>
          </w:p>
        </w:tc>
        <w:tc>
          <w:tcPr>
            <w:tcW w:w="2551" w:type="dxa"/>
            <w:vAlign w:val="center"/>
          </w:tcPr>
          <w:p>
            <w:pPr>
              <w:pStyle w:val="12"/>
            </w:pPr>
            <w:r>
              <w:t>440.88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433.93</w:t>
            </w:r>
          </w:p>
        </w:tc>
        <w:tc>
          <w:tcPr>
            <w:tcW w:w="2551" w:type="dxa"/>
            <w:vAlign w:val="center"/>
          </w:tcPr>
          <w:p>
            <w:pPr>
              <w:pStyle w:val="12"/>
            </w:pPr>
            <w:r>
              <w:t>433.93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2080501</w:t>
            </w:r>
          </w:p>
        </w:tc>
        <w:tc>
          <w:tcPr>
            <w:tcW w:w="4535" w:type="dxa"/>
            <w:vAlign w:val="center"/>
          </w:tcPr>
          <w:p>
            <w:pPr>
              <w:pStyle w:val="13"/>
            </w:pPr>
            <w:r>
              <w:t>行政单位离退休</w:t>
            </w:r>
          </w:p>
        </w:tc>
        <w:tc>
          <w:tcPr>
            <w:tcW w:w="2551" w:type="dxa"/>
            <w:vAlign w:val="center"/>
          </w:tcPr>
          <w:p>
            <w:pPr>
              <w:pStyle w:val="12"/>
            </w:pPr>
            <w:r>
              <w:t>303.14</w:t>
            </w:r>
          </w:p>
        </w:tc>
        <w:tc>
          <w:tcPr>
            <w:tcW w:w="2551" w:type="dxa"/>
            <w:vAlign w:val="center"/>
          </w:tcPr>
          <w:p>
            <w:pPr>
              <w:pStyle w:val="12"/>
            </w:pPr>
            <w:r>
              <w:t>303.14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130.79</w:t>
            </w:r>
          </w:p>
        </w:tc>
        <w:tc>
          <w:tcPr>
            <w:tcW w:w="2551" w:type="dxa"/>
            <w:vAlign w:val="center"/>
          </w:tcPr>
          <w:p>
            <w:pPr>
              <w:pStyle w:val="12"/>
            </w:pPr>
            <w:r>
              <w:t>130.79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20808</w:t>
            </w:r>
          </w:p>
        </w:tc>
        <w:tc>
          <w:tcPr>
            <w:tcW w:w="4535" w:type="dxa"/>
            <w:vAlign w:val="center"/>
          </w:tcPr>
          <w:p>
            <w:pPr>
              <w:pStyle w:val="13"/>
            </w:pPr>
            <w:r>
              <w:t>抚恤</w:t>
            </w:r>
          </w:p>
        </w:tc>
        <w:tc>
          <w:tcPr>
            <w:tcW w:w="2551" w:type="dxa"/>
            <w:vAlign w:val="center"/>
          </w:tcPr>
          <w:p>
            <w:pPr>
              <w:pStyle w:val="12"/>
            </w:pPr>
            <w:r>
              <w:t>6.95</w:t>
            </w:r>
          </w:p>
        </w:tc>
        <w:tc>
          <w:tcPr>
            <w:tcW w:w="2551" w:type="dxa"/>
            <w:vAlign w:val="center"/>
          </w:tcPr>
          <w:p>
            <w:pPr>
              <w:pStyle w:val="12"/>
            </w:pPr>
            <w:r>
              <w:t>6.95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2080801</w:t>
            </w:r>
          </w:p>
        </w:tc>
        <w:tc>
          <w:tcPr>
            <w:tcW w:w="4535" w:type="dxa"/>
            <w:vAlign w:val="center"/>
          </w:tcPr>
          <w:p>
            <w:pPr>
              <w:pStyle w:val="13"/>
            </w:pPr>
            <w:r>
              <w:t>死亡抚恤</w:t>
            </w:r>
          </w:p>
        </w:tc>
        <w:tc>
          <w:tcPr>
            <w:tcW w:w="2551" w:type="dxa"/>
            <w:vAlign w:val="center"/>
          </w:tcPr>
          <w:p>
            <w:pPr>
              <w:pStyle w:val="12"/>
            </w:pPr>
            <w:r>
              <w:t>0.94</w:t>
            </w:r>
          </w:p>
        </w:tc>
        <w:tc>
          <w:tcPr>
            <w:tcW w:w="2551" w:type="dxa"/>
            <w:vAlign w:val="center"/>
          </w:tcPr>
          <w:p>
            <w:pPr>
              <w:pStyle w:val="12"/>
            </w:pPr>
            <w:r>
              <w:t>0.94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2080802</w:t>
            </w:r>
          </w:p>
        </w:tc>
        <w:tc>
          <w:tcPr>
            <w:tcW w:w="4535" w:type="dxa"/>
            <w:vAlign w:val="center"/>
          </w:tcPr>
          <w:p>
            <w:pPr>
              <w:pStyle w:val="13"/>
            </w:pPr>
            <w:r>
              <w:t>伤残抚恤</w:t>
            </w:r>
          </w:p>
        </w:tc>
        <w:tc>
          <w:tcPr>
            <w:tcW w:w="2551" w:type="dxa"/>
            <w:vAlign w:val="center"/>
          </w:tcPr>
          <w:p>
            <w:pPr>
              <w:pStyle w:val="12"/>
            </w:pPr>
            <w:r>
              <w:t>6.01</w:t>
            </w:r>
          </w:p>
        </w:tc>
        <w:tc>
          <w:tcPr>
            <w:tcW w:w="2551" w:type="dxa"/>
            <w:vAlign w:val="center"/>
          </w:tcPr>
          <w:p>
            <w:pPr>
              <w:pStyle w:val="12"/>
            </w:pPr>
            <w:r>
              <w:t>6.01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71.60</w:t>
            </w:r>
          </w:p>
        </w:tc>
        <w:tc>
          <w:tcPr>
            <w:tcW w:w="2551" w:type="dxa"/>
            <w:vAlign w:val="center"/>
          </w:tcPr>
          <w:p>
            <w:pPr>
              <w:pStyle w:val="12"/>
            </w:pPr>
            <w:r>
              <w:t>71.60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71.60</w:t>
            </w:r>
          </w:p>
        </w:tc>
        <w:tc>
          <w:tcPr>
            <w:tcW w:w="2551" w:type="dxa"/>
            <w:vAlign w:val="center"/>
          </w:tcPr>
          <w:p>
            <w:pPr>
              <w:pStyle w:val="12"/>
            </w:pPr>
            <w:r>
              <w:t>71.60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2101101</w:t>
            </w:r>
          </w:p>
        </w:tc>
        <w:tc>
          <w:tcPr>
            <w:tcW w:w="4535" w:type="dxa"/>
            <w:vAlign w:val="center"/>
          </w:tcPr>
          <w:p>
            <w:pPr>
              <w:pStyle w:val="13"/>
            </w:pPr>
            <w:r>
              <w:t>行政单位医疗</w:t>
            </w:r>
          </w:p>
        </w:tc>
        <w:tc>
          <w:tcPr>
            <w:tcW w:w="2551" w:type="dxa"/>
            <w:vAlign w:val="center"/>
          </w:tcPr>
          <w:p>
            <w:pPr>
              <w:pStyle w:val="12"/>
            </w:pPr>
            <w:r>
              <w:t>63.43</w:t>
            </w:r>
          </w:p>
        </w:tc>
        <w:tc>
          <w:tcPr>
            <w:tcW w:w="2551" w:type="dxa"/>
            <w:vAlign w:val="center"/>
          </w:tcPr>
          <w:p>
            <w:pPr>
              <w:pStyle w:val="12"/>
            </w:pPr>
            <w:r>
              <w:t>63.43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2101103</w:t>
            </w:r>
          </w:p>
        </w:tc>
        <w:tc>
          <w:tcPr>
            <w:tcW w:w="4535" w:type="dxa"/>
            <w:vAlign w:val="center"/>
          </w:tcPr>
          <w:p>
            <w:pPr>
              <w:pStyle w:val="13"/>
            </w:pPr>
            <w:r>
              <w:t>公务员医疗补助</w:t>
            </w:r>
          </w:p>
        </w:tc>
        <w:tc>
          <w:tcPr>
            <w:tcW w:w="2551" w:type="dxa"/>
            <w:vAlign w:val="center"/>
          </w:tcPr>
          <w:p>
            <w:pPr>
              <w:pStyle w:val="12"/>
            </w:pPr>
            <w:r>
              <w:t>8.17</w:t>
            </w:r>
          </w:p>
        </w:tc>
        <w:tc>
          <w:tcPr>
            <w:tcW w:w="2551" w:type="dxa"/>
            <w:vAlign w:val="center"/>
          </w:tcPr>
          <w:p>
            <w:pPr>
              <w:pStyle w:val="12"/>
            </w:pPr>
            <w:r>
              <w:t>8.17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98.04</w:t>
            </w:r>
          </w:p>
        </w:tc>
        <w:tc>
          <w:tcPr>
            <w:tcW w:w="2551" w:type="dxa"/>
            <w:vAlign w:val="center"/>
          </w:tcPr>
          <w:p>
            <w:pPr>
              <w:pStyle w:val="12"/>
            </w:pPr>
            <w:r>
              <w:t>98.04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98.04</w:t>
            </w:r>
          </w:p>
        </w:tc>
        <w:tc>
          <w:tcPr>
            <w:tcW w:w="2551" w:type="dxa"/>
            <w:vAlign w:val="center"/>
          </w:tcPr>
          <w:p>
            <w:pPr>
              <w:pStyle w:val="12"/>
            </w:pPr>
            <w:r>
              <w:t>98.04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98.04</w:t>
            </w:r>
          </w:p>
        </w:tc>
        <w:tc>
          <w:tcPr>
            <w:tcW w:w="2551" w:type="dxa"/>
            <w:vAlign w:val="center"/>
          </w:tcPr>
          <w:p>
            <w:pPr>
              <w:pStyle w:val="12"/>
            </w:pPr>
            <w:r>
              <w:t>98.04</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101承德市人民代表大会常务委员会办公室</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1983.32</w:t>
            </w:r>
          </w:p>
        </w:tc>
        <w:tc>
          <w:tcPr>
            <w:tcW w:w="2551" w:type="dxa"/>
            <w:vAlign w:val="center"/>
          </w:tcPr>
          <w:p>
            <w:pPr>
              <w:pStyle w:val="16"/>
            </w:pPr>
            <w:r>
              <w:t>1752.09</w:t>
            </w:r>
          </w:p>
        </w:tc>
        <w:tc>
          <w:tcPr>
            <w:tcW w:w="2551" w:type="dxa"/>
            <w:vAlign w:val="center"/>
          </w:tcPr>
          <w:p>
            <w:pPr>
              <w:pStyle w:val="16"/>
            </w:pPr>
            <w:r>
              <w:t>231.23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1458.48</w:t>
            </w:r>
          </w:p>
        </w:tc>
        <w:tc>
          <w:tcPr>
            <w:tcW w:w="2551" w:type="dxa"/>
            <w:vAlign w:val="center"/>
          </w:tcPr>
          <w:p>
            <w:pPr>
              <w:pStyle w:val="12"/>
            </w:pPr>
            <w:r>
              <w:t>1458.48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531.10</w:t>
            </w:r>
          </w:p>
        </w:tc>
        <w:tc>
          <w:tcPr>
            <w:tcW w:w="2551" w:type="dxa"/>
            <w:vAlign w:val="center"/>
          </w:tcPr>
          <w:p>
            <w:pPr>
              <w:pStyle w:val="12"/>
            </w:pPr>
            <w:r>
              <w:t>531.10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390.15</w:t>
            </w:r>
          </w:p>
        </w:tc>
        <w:tc>
          <w:tcPr>
            <w:tcW w:w="2551" w:type="dxa"/>
            <w:vAlign w:val="center"/>
          </w:tcPr>
          <w:p>
            <w:pPr>
              <w:pStyle w:val="12"/>
            </w:pPr>
            <w:r>
              <w:t>390.15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207.05</w:t>
            </w:r>
          </w:p>
        </w:tc>
        <w:tc>
          <w:tcPr>
            <w:tcW w:w="2551" w:type="dxa"/>
            <w:vAlign w:val="center"/>
          </w:tcPr>
          <w:p>
            <w:pPr>
              <w:pStyle w:val="12"/>
            </w:pPr>
            <w:r>
              <w:t>207.05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12.03</w:t>
            </w:r>
          </w:p>
        </w:tc>
        <w:tc>
          <w:tcPr>
            <w:tcW w:w="2551" w:type="dxa"/>
            <w:vAlign w:val="center"/>
          </w:tcPr>
          <w:p>
            <w:pPr>
              <w:pStyle w:val="12"/>
            </w:pPr>
            <w:r>
              <w:t>12.03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130.79</w:t>
            </w:r>
          </w:p>
        </w:tc>
        <w:tc>
          <w:tcPr>
            <w:tcW w:w="2551" w:type="dxa"/>
            <w:vAlign w:val="center"/>
          </w:tcPr>
          <w:p>
            <w:pPr>
              <w:pStyle w:val="12"/>
            </w:pPr>
            <w:r>
              <w:t>130.79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30110</w:t>
            </w:r>
          </w:p>
        </w:tc>
        <w:tc>
          <w:tcPr>
            <w:tcW w:w="4535" w:type="dxa"/>
            <w:vAlign w:val="center"/>
          </w:tcPr>
          <w:p>
            <w:pPr>
              <w:pStyle w:val="13"/>
            </w:pPr>
            <w:r>
              <w:t>城镇职工基本医疗保险缴费</w:t>
            </w:r>
          </w:p>
        </w:tc>
        <w:tc>
          <w:tcPr>
            <w:tcW w:w="2551" w:type="dxa"/>
            <w:vAlign w:val="center"/>
          </w:tcPr>
          <w:p>
            <w:pPr>
              <w:pStyle w:val="12"/>
            </w:pPr>
            <w:r>
              <w:t>55.59</w:t>
            </w:r>
          </w:p>
        </w:tc>
        <w:tc>
          <w:tcPr>
            <w:tcW w:w="2551" w:type="dxa"/>
            <w:vAlign w:val="center"/>
          </w:tcPr>
          <w:p>
            <w:pPr>
              <w:pStyle w:val="12"/>
            </w:pPr>
            <w:r>
              <w:t>55.59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30111</w:t>
            </w:r>
          </w:p>
        </w:tc>
        <w:tc>
          <w:tcPr>
            <w:tcW w:w="4535" w:type="dxa"/>
            <w:vAlign w:val="center"/>
          </w:tcPr>
          <w:p>
            <w:pPr>
              <w:pStyle w:val="13"/>
            </w:pPr>
            <w:r>
              <w:t>公务员医疗补助缴费</w:t>
            </w:r>
          </w:p>
        </w:tc>
        <w:tc>
          <w:tcPr>
            <w:tcW w:w="2551" w:type="dxa"/>
            <w:vAlign w:val="center"/>
          </w:tcPr>
          <w:p>
            <w:pPr>
              <w:pStyle w:val="12"/>
            </w:pPr>
            <w:r>
              <w:t>8.17</w:t>
            </w:r>
          </w:p>
        </w:tc>
        <w:tc>
          <w:tcPr>
            <w:tcW w:w="2551" w:type="dxa"/>
            <w:vAlign w:val="center"/>
          </w:tcPr>
          <w:p>
            <w:pPr>
              <w:pStyle w:val="12"/>
            </w:pPr>
            <w:r>
              <w:t>8.17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8.01</w:t>
            </w:r>
          </w:p>
        </w:tc>
        <w:tc>
          <w:tcPr>
            <w:tcW w:w="2551" w:type="dxa"/>
            <w:vAlign w:val="center"/>
          </w:tcPr>
          <w:p>
            <w:pPr>
              <w:pStyle w:val="12"/>
            </w:pPr>
            <w:r>
              <w:t>8.01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98.04</w:t>
            </w:r>
          </w:p>
        </w:tc>
        <w:tc>
          <w:tcPr>
            <w:tcW w:w="2551" w:type="dxa"/>
            <w:vAlign w:val="center"/>
          </w:tcPr>
          <w:p>
            <w:pPr>
              <w:pStyle w:val="12"/>
            </w:pPr>
            <w:r>
              <w:t>98.04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pPr>
            <w:r>
              <w:t>17.55</w:t>
            </w:r>
          </w:p>
        </w:tc>
        <w:tc>
          <w:tcPr>
            <w:tcW w:w="2551" w:type="dxa"/>
            <w:vAlign w:val="center"/>
          </w:tcPr>
          <w:p>
            <w:pPr>
              <w:pStyle w:val="12"/>
            </w:pPr>
            <w:r>
              <w:t>17.55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231.23</w:t>
            </w:r>
          </w:p>
        </w:tc>
        <w:tc>
          <w:tcPr>
            <w:tcW w:w="2551" w:type="dxa"/>
            <w:vAlign w:val="center"/>
          </w:tcPr>
          <w:p>
            <w:pPr>
              <w:pStyle w:val="12"/>
            </w:pPr>
          </w:p>
        </w:tc>
        <w:tc>
          <w:tcPr>
            <w:tcW w:w="2551" w:type="dxa"/>
            <w:vAlign w:val="center"/>
          </w:tcPr>
          <w:p>
            <w:pPr>
              <w:pStyle w:val="12"/>
            </w:pPr>
            <w:r>
              <w:t>231.23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25.09</w:t>
            </w:r>
          </w:p>
        </w:tc>
        <w:tc>
          <w:tcPr>
            <w:tcW w:w="2551" w:type="dxa"/>
            <w:vAlign w:val="center"/>
          </w:tcPr>
          <w:p>
            <w:pPr>
              <w:pStyle w:val="12"/>
            </w:pPr>
          </w:p>
        </w:tc>
        <w:tc>
          <w:tcPr>
            <w:tcW w:w="2551" w:type="dxa"/>
            <w:vAlign w:val="center"/>
          </w:tcPr>
          <w:p>
            <w:pPr>
              <w:pStyle w:val="12"/>
            </w:pPr>
            <w:r>
              <w:t>25.09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53.49</w:t>
            </w:r>
          </w:p>
        </w:tc>
        <w:tc>
          <w:tcPr>
            <w:tcW w:w="2551" w:type="dxa"/>
            <w:vAlign w:val="center"/>
          </w:tcPr>
          <w:p>
            <w:pPr>
              <w:pStyle w:val="12"/>
            </w:pPr>
          </w:p>
        </w:tc>
        <w:tc>
          <w:tcPr>
            <w:tcW w:w="2551" w:type="dxa"/>
            <w:vAlign w:val="center"/>
          </w:tcPr>
          <w:p>
            <w:pPr>
              <w:pStyle w:val="12"/>
            </w:pPr>
            <w:r>
              <w:t>53.49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13.00</w:t>
            </w:r>
          </w:p>
        </w:tc>
        <w:tc>
          <w:tcPr>
            <w:tcW w:w="2551" w:type="dxa"/>
            <w:vAlign w:val="center"/>
          </w:tcPr>
          <w:p>
            <w:pPr>
              <w:pStyle w:val="12"/>
            </w:pPr>
          </w:p>
        </w:tc>
        <w:tc>
          <w:tcPr>
            <w:tcW w:w="2551" w:type="dxa"/>
            <w:vAlign w:val="center"/>
          </w:tcPr>
          <w:p>
            <w:pPr>
              <w:pStyle w:val="12"/>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pPr>
            <w:r>
              <w:t>1.20</w:t>
            </w:r>
          </w:p>
        </w:tc>
        <w:tc>
          <w:tcPr>
            <w:tcW w:w="2551" w:type="dxa"/>
            <w:vAlign w:val="center"/>
          </w:tcPr>
          <w:p>
            <w:pPr>
              <w:pStyle w:val="12"/>
            </w:pPr>
          </w:p>
        </w:tc>
        <w:tc>
          <w:tcPr>
            <w:tcW w:w="2551" w:type="dxa"/>
            <w:vAlign w:val="center"/>
          </w:tcPr>
          <w:p>
            <w:pPr>
              <w:pStyle w:val="12"/>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9.81</w:t>
            </w:r>
          </w:p>
        </w:tc>
        <w:tc>
          <w:tcPr>
            <w:tcW w:w="2551" w:type="dxa"/>
            <w:vAlign w:val="center"/>
          </w:tcPr>
          <w:p>
            <w:pPr>
              <w:pStyle w:val="12"/>
            </w:pPr>
          </w:p>
        </w:tc>
        <w:tc>
          <w:tcPr>
            <w:tcW w:w="2551" w:type="dxa"/>
            <w:vAlign w:val="center"/>
          </w:tcPr>
          <w:p>
            <w:pPr>
              <w:pStyle w:val="12"/>
            </w:pPr>
            <w:r>
              <w:t>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11.68</w:t>
            </w:r>
          </w:p>
        </w:tc>
        <w:tc>
          <w:tcPr>
            <w:tcW w:w="2551" w:type="dxa"/>
            <w:vAlign w:val="center"/>
          </w:tcPr>
          <w:p>
            <w:pPr>
              <w:pStyle w:val="12"/>
            </w:pPr>
          </w:p>
        </w:tc>
        <w:tc>
          <w:tcPr>
            <w:tcW w:w="2551" w:type="dxa"/>
            <w:vAlign w:val="center"/>
          </w:tcPr>
          <w:p>
            <w:pPr>
              <w:pStyle w:val="12"/>
            </w:pPr>
            <w:r>
              <w:t>11.68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6.30</w:t>
            </w:r>
          </w:p>
        </w:tc>
        <w:tc>
          <w:tcPr>
            <w:tcW w:w="2551" w:type="dxa"/>
            <w:vAlign w:val="center"/>
          </w:tcPr>
          <w:p>
            <w:pPr>
              <w:pStyle w:val="12"/>
            </w:pPr>
          </w:p>
        </w:tc>
        <w:tc>
          <w:tcPr>
            <w:tcW w:w="2551" w:type="dxa"/>
            <w:vAlign w:val="center"/>
          </w:tcPr>
          <w:p>
            <w:pPr>
              <w:pStyle w:val="12"/>
            </w:pPr>
            <w:r>
              <w:t>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92.05</w:t>
            </w:r>
          </w:p>
        </w:tc>
        <w:tc>
          <w:tcPr>
            <w:tcW w:w="2551" w:type="dxa"/>
            <w:vAlign w:val="center"/>
          </w:tcPr>
          <w:p>
            <w:pPr>
              <w:pStyle w:val="12"/>
            </w:pPr>
          </w:p>
        </w:tc>
        <w:tc>
          <w:tcPr>
            <w:tcW w:w="2551" w:type="dxa"/>
            <w:vAlign w:val="center"/>
          </w:tcPr>
          <w:p>
            <w:pPr>
              <w:pStyle w:val="12"/>
            </w:pPr>
            <w:r>
              <w:t>92.05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18.61</w:t>
            </w:r>
          </w:p>
        </w:tc>
        <w:tc>
          <w:tcPr>
            <w:tcW w:w="2551" w:type="dxa"/>
            <w:vAlign w:val="center"/>
          </w:tcPr>
          <w:p>
            <w:pPr>
              <w:pStyle w:val="12"/>
            </w:pPr>
          </w:p>
        </w:tc>
        <w:tc>
          <w:tcPr>
            <w:tcW w:w="2551" w:type="dxa"/>
            <w:vAlign w:val="center"/>
          </w:tcPr>
          <w:p>
            <w:pPr>
              <w:pStyle w:val="12"/>
            </w:pPr>
            <w:r>
              <w:t>18.61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293.61</w:t>
            </w:r>
          </w:p>
        </w:tc>
        <w:tc>
          <w:tcPr>
            <w:tcW w:w="2551" w:type="dxa"/>
            <w:vAlign w:val="center"/>
          </w:tcPr>
          <w:p>
            <w:pPr>
              <w:pStyle w:val="12"/>
            </w:pPr>
            <w:r>
              <w:t>293.61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30301</w:t>
            </w:r>
          </w:p>
        </w:tc>
        <w:tc>
          <w:tcPr>
            <w:tcW w:w="4535" w:type="dxa"/>
            <w:vAlign w:val="center"/>
          </w:tcPr>
          <w:p>
            <w:pPr>
              <w:pStyle w:val="13"/>
            </w:pPr>
            <w:r>
              <w:t>离休费</w:t>
            </w:r>
          </w:p>
        </w:tc>
        <w:tc>
          <w:tcPr>
            <w:tcW w:w="2551" w:type="dxa"/>
            <w:vAlign w:val="center"/>
          </w:tcPr>
          <w:p>
            <w:pPr>
              <w:pStyle w:val="12"/>
            </w:pPr>
            <w:r>
              <w:t>55.62</w:t>
            </w:r>
          </w:p>
        </w:tc>
        <w:tc>
          <w:tcPr>
            <w:tcW w:w="2551" w:type="dxa"/>
            <w:vAlign w:val="center"/>
          </w:tcPr>
          <w:p>
            <w:pPr>
              <w:pStyle w:val="12"/>
            </w:pPr>
            <w:r>
              <w:t>55.62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230.94</w:t>
            </w:r>
          </w:p>
        </w:tc>
        <w:tc>
          <w:tcPr>
            <w:tcW w:w="2551" w:type="dxa"/>
            <w:vAlign w:val="center"/>
          </w:tcPr>
          <w:p>
            <w:pPr>
              <w:pStyle w:val="12"/>
            </w:pPr>
            <w:r>
              <w:t>230.94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30304</w:t>
            </w:r>
          </w:p>
        </w:tc>
        <w:tc>
          <w:tcPr>
            <w:tcW w:w="4535" w:type="dxa"/>
            <w:vAlign w:val="center"/>
          </w:tcPr>
          <w:p>
            <w:pPr>
              <w:pStyle w:val="13"/>
            </w:pPr>
            <w:r>
              <w:t>抚恤金</w:t>
            </w:r>
          </w:p>
        </w:tc>
        <w:tc>
          <w:tcPr>
            <w:tcW w:w="2551" w:type="dxa"/>
            <w:vAlign w:val="center"/>
          </w:tcPr>
          <w:p>
            <w:pPr>
              <w:pStyle w:val="12"/>
            </w:pPr>
            <w:r>
              <w:t>6.01</w:t>
            </w:r>
          </w:p>
        </w:tc>
        <w:tc>
          <w:tcPr>
            <w:tcW w:w="2551" w:type="dxa"/>
            <w:vAlign w:val="center"/>
          </w:tcPr>
          <w:p>
            <w:pPr>
              <w:pStyle w:val="12"/>
            </w:pPr>
            <w:r>
              <w:t>6.01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3"/>
            </w:pPr>
            <w:r>
              <w:t>30305</w:t>
            </w:r>
          </w:p>
        </w:tc>
        <w:tc>
          <w:tcPr>
            <w:tcW w:w="4535" w:type="dxa"/>
            <w:vAlign w:val="center"/>
          </w:tcPr>
          <w:p>
            <w:pPr>
              <w:pStyle w:val="13"/>
            </w:pPr>
            <w:r>
              <w:t>生活补助</w:t>
            </w:r>
          </w:p>
        </w:tc>
        <w:tc>
          <w:tcPr>
            <w:tcW w:w="2551" w:type="dxa"/>
            <w:vAlign w:val="center"/>
          </w:tcPr>
          <w:p>
            <w:pPr>
              <w:pStyle w:val="12"/>
            </w:pPr>
            <w:r>
              <w:t>0.94</w:t>
            </w:r>
          </w:p>
        </w:tc>
        <w:tc>
          <w:tcPr>
            <w:tcW w:w="2551" w:type="dxa"/>
            <w:vAlign w:val="center"/>
          </w:tcPr>
          <w:p>
            <w:pPr>
              <w:pStyle w:val="12"/>
            </w:pPr>
            <w:r>
              <w:t>0.94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0.10</w:t>
            </w:r>
          </w:p>
        </w:tc>
        <w:tc>
          <w:tcPr>
            <w:tcW w:w="2551" w:type="dxa"/>
            <w:vAlign w:val="center"/>
          </w:tcPr>
          <w:p>
            <w:pPr>
              <w:pStyle w:val="12"/>
            </w:pPr>
            <w:r>
              <w:t>0.10</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101承德市人民代表大会常务委员会办公室</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101承德市人民代表大会常务委员会办公室</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101承德市人民代表大会常务委员会办公室</w:t>
            </w:r>
          </w:p>
        </w:tc>
        <w:tc>
          <w:tcPr>
            <w:tcW w:w="2381" w:type="dxa"/>
            <w:tcBorders>
              <w:top w:val="single" w:color="FFFFFF" w:sz="6" w:space="0"/>
              <w:left w:val="single" w:color="FFFFFF" w:sz="6" w:space="0"/>
              <w:right w:val="single" w:color="FFFFFF" w:sz="6" w:space="0"/>
            </w:tcBorders>
            <w:vAlign w:val="center"/>
          </w:tcPr>
          <w:p>
            <w:pPr>
              <w:pStyle w:val="9"/>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5"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2"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1</w:t>
            </w:r>
          </w:p>
        </w:tc>
        <w:tc>
          <w:tcPr>
            <w:tcW w:w="3798" w:type="dxa"/>
            <w:vAlign w:val="center"/>
          </w:tcPr>
          <w:p>
            <w:pPr>
              <w:pStyle w:val="13"/>
            </w:pPr>
            <w:r>
              <w:t>“三公”经费小计</w:t>
            </w:r>
          </w:p>
        </w:tc>
        <w:tc>
          <w:tcPr>
            <w:tcW w:w="2382" w:type="dxa"/>
            <w:vAlign w:val="center"/>
          </w:tcPr>
          <w:p>
            <w:pPr>
              <w:pStyle w:val="12"/>
            </w:pPr>
            <w:r>
              <w:t>16.50</w:t>
            </w:r>
          </w:p>
        </w:tc>
        <w:tc>
          <w:tcPr>
            <w:tcW w:w="2381" w:type="dxa"/>
            <w:vAlign w:val="center"/>
          </w:tcPr>
          <w:p>
            <w:pPr>
              <w:pStyle w:val="12"/>
            </w:pPr>
            <w:r>
              <w:t>16.50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lang w:val="en-US" w:eastAsia="zh-CN"/>
              </w:rPr>
            </w:pPr>
            <w:r>
              <w:rPr>
                <w:rFonts w:hint="eastAsia"/>
                <w:lang w:val="en-US" w:eastAsia="zh-CN"/>
              </w:rPr>
              <w:t>2</w:t>
            </w:r>
          </w:p>
        </w:tc>
        <w:tc>
          <w:tcPr>
            <w:tcW w:w="3798" w:type="dxa"/>
            <w:vAlign w:val="center"/>
          </w:tcPr>
          <w:p>
            <w:pPr>
              <w:pStyle w:val="13"/>
            </w:pPr>
            <w:r>
              <w:t>一、因公出国（境）费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3</w:t>
            </w:r>
          </w:p>
        </w:tc>
        <w:tc>
          <w:tcPr>
            <w:tcW w:w="3798" w:type="dxa"/>
            <w:vAlign w:val="center"/>
          </w:tcPr>
          <w:p>
            <w:pPr>
              <w:pStyle w:val="13"/>
            </w:pPr>
            <w:r>
              <w:t xml:space="preserve">    其中：教学科研人员因公出国（境）费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default" w:eastAsia="方正书宋_GBK"/>
                <w:lang w:val="en-US" w:eastAsia="zh-CN"/>
              </w:rPr>
            </w:pPr>
            <w:r>
              <w:rPr>
                <w:rFonts w:hint="eastAsia"/>
                <w:lang w:val="en-US" w:eastAsia="zh-CN"/>
              </w:rPr>
              <w:t>4</w:t>
            </w:r>
          </w:p>
        </w:tc>
        <w:tc>
          <w:tcPr>
            <w:tcW w:w="3798" w:type="dxa"/>
            <w:vAlign w:val="center"/>
          </w:tcPr>
          <w:p>
            <w:pPr>
              <w:pStyle w:val="13"/>
            </w:pPr>
            <w:r>
              <w:t xml:space="preserve">          其他因公出国（境）费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5</w:t>
            </w:r>
          </w:p>
        </w:tc>
        <w:tc>
          <w:tcPr>
            <w:tcW w:w="3798" w:type="dxa"/>
            <w:vAlign w:val="center"/>
          </w:tcPr>
          <w:p>
            <w:pPr>
              <w:pStyle w:val="13"/>
            </w:pPr>
            <w:r>
              <w:t>二、公务用车购置及运维费</w:t>
            </w:r>
          </w:p>
        </w:tc>
        <w:tc>
          <w:tcPr>
            <w:tcW w:w="2382" w:type="dxa"/>
            <w:vAlign w:val="center"/>
          </w:tcPr>
          <w:p>
            <w:pPr>
              <w:pStyle w:val="12"/>
            </w:pPr>
            <w:r>
              <w:t>6.30</w:t>
            </w:r>
          </w:p>
        </w:tc>
        <w:tc>
          <w:tcPr>
            <w:tcW w:w="2381" w:type="dxa"/>
            <w:vAlign w:val="center"/>
          </w:tcPr>
          <w:p>
            <w:pPr>
              <w:pStyle w:val="12"/>
            </w:pPr>
            <w:r>
              <w:t>6.30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6</w:t>
            </w:r>
          </w:p>
        </w:tc>
        <w:tc>
          <w:tcPr>
            <w:tcW w:w="3798" w:type="dxa"/>
            <w:vAlign w:val="center"/>
          </w:tcPr>
          <w:p>
            <w:pPr>
              <w:pStyle w:val="13"/>
            </w:pPr>
            <w:r>
              <w:t xml:space="preserve">    其中：公务用车购置费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7</w:t>
            </w:r>
          </w:p>
        </w:tc>
        <w:tc>
          <w:tcPr>
            <w:tcW w:w="3798" w:type="dxa"/>
            <w:vAlign w:val="center"/>
          </w:tcPr>
          <w:p>
            <w:pPr>
              <w:pStyle w:val="13"/>
            </w:pPr>
            <w:r>
              <w:t xml:space="preserve">          公务用车运行维护费</w:t>
            </w:r>
          </w:p>
        </w:tc>
        <w:tc>
          <w:tcPr>
            <w:tcW w:w="2382" w:type="dxa"/>
            <w:vAlign w:val="center"/>
          </w:tcPr>
          <w:p>
            <w:pPr>
              <w:pStyle w:val="12"/>
            </w:pPr>
            <w:r>
              <w:t>6.30</w:t>
            </w:r>
          </w:p>
        </w:tc>
        <w:tc>
          <w:tcPr>
            <w:tcW w:w="2381" w:type="dxa"/>
            <w:vAlign w:val="center"/>
          </w:tcPr>
          <w:p>
            <w:pPr>
              <w:pStyle w:val="12"/>
            </w:pPr>
            <w:r>
              <w:t>6.30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8</w:t>
            </w:r>
          </w:p>
        </w:tc>
        <w:tc>
          <w:tcPr>
            <w:tcW w:w="3798" w:type="dxa"/>
            <w:vAlign w:val="center"/>
          </w:tcPr>
          <w:p>
            <w:pPr>
              <w:pStyle w:val="13"/>
            </w:pPr>
            <w:r>
              <w:t>三、公务接待费</w:t>
            </w:r>
          </w:p>
        </w:tc>
        <w:tc>
          <w:tcPr>
            <w:tcW w:w="2382" w:type="dxa"/>
            <w:vAlign w:val="center"/>
          </w:tcPr>
          <w:p>
            <w:pPr>
              <w:pStyle w:val="12"/>
            </w:pPr>
            <w:r>
              <w:t>10.20</w:t>
            </w:r>
          </w:p>
        </w:tc>
        <w:tc>
          <w:tcPr>
            <w:tcW w:w="2381" w:type="dxa"/>
            <w:vAlign w:val="center"/>
          </w:tcPr>
          <w:p>
            <w:pPr>
              <w:pStyle w:val="12"/>
            </w:pPr>
            <w:r>
              <w:t>10.20</w:t>
            </w:r>
          </w:p>
        </w:tc>
        <w:tc>
          <w:tcPr>
            <w:tcW w:w="2381" w:type="dxa"/>
            <w:vAlign w:val="center"/>
          </w:tcPr>
          <w:p>
            <w:pPr>
              <w:pStyle w:val="12"/>
            </w:pPr>
          </w:p>
        </w:tc>
        <w:tc>
          <w:tcPr>
            <w:tcW w:w="2381" w:type="dxa"/>
            <w:vAlign w:val="center"/>
          </w:tcPr>
          <w:p>
            <w:pPr>
              <w:pStyle w:val="12"/>
            </w:pPr>
          </w:p>
        </w:tc>
      </w:tr>
    </w:tbl>
    <w:p>
      <w:pPr>
        <w:jc w:val="both"/>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预算信息公开情</w:t>
      </w:r>
    </w:p>
    <w:p>
      <w:pPr>
        <w:ind w:firstLine="3520" w:firstLineChars="800"/>
        <w:jc w:val="both"/>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承德市人民代表大会常务委员会办公室</w:t>
      </w:r>
    </w:p>
    <w:p>
      <w:pPr>
        <w:jc w:val="center"/>
      </w:pPr>
      <w:r>
        <w:rPr>
          <w:rFonts w:ascii="方正小标宋_GBK" w:hAnsi="方正小标宋_GBK" w:eastAsia="方正小标宋_GBK" w:cs="方正小标宋_GBK"/>
          <w:color w:val="000000"/>
          <w:sz w:val="44"/>
        </w:rPr>
        <w:t>2022年部门预算信息公开情况说明</w:t>
      </w:r>
    </w:p>
    <w:p>
      <w:pPr>
        <w:spacing w:line="500" w:lineRule="exact"/>
        <w:ind w:firstLine="560"/>
        <w:rPr>
          <w:rFonts w:eastAsia="方正仿宋_GBK"/>
          <w:color w:val="000000"/>
          <w:sz w:val="32"/>
          <w:szCs w:val="32"/>
        </w:rPr>
      </w:pP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按照《预算法》、《地方预决算公开操作规程》和《关于进一步推进预算公开工作的实施意见》规定，现将承德市人民代表大会常务委员会办公室2022年部门预算公开如下：</w:t>
      </w:r>
    </w:p>
    <w:p>
      <w:pPr>
        <w:spacing w:before="10" w:after="10" w:line="360" w:lineRule="auto"/>
        <w:ind w:firstLine="640"/>
        <w:outlineLvl w:val="2"/>
        <w:rPr>
          <w:sz w:val="36"/>
          <w:szCs w:val="36"/>
        </w:rPr>
      </w:pPr>
      <w:bookmarkStart w:id="9" w:name="_Toc_3_3_0000000010"/>
      <w:r>
        <w:rPr>
          <w:rFonts w:ascii="黑体" w:hAnsi="黑体" w:eastAsia="黑体" w:cs="黑体"/>
          <w:color w:val="000000"/>
          <w:sz w:val="36"/>
          <w:szCs w:val="36"/>
        </w:rPr>
        <w:t>一、部门职责及机构设置情况</w:t>
      </w:r>
      <w:bookmarkEnd w:id="9"/>
    </w:p>
    <w:p>
      <w:pPr>
        <w:keepNext w:val="0"/>
        <w:keepLines w:val="0"/>
        <w:pageBreakBefore w:val="0"/>
        <w:kinsoku/>
        <w:wordWrap/>
        <w:overflowPunct/>
        <w:topLinePunct w:val="0"/>
        <w:autoSpaceDE/>
        <w:autoSpaceDN/>
        <w:bidi w:val="0"/>
        <w:adjustRightInd/>
        <w:snapToGrid/>
        <w:spacing w:line="580" w:lineRule="exact"/>
        <w:ind w:firstLine="964" w:firstLineChars="300"/>
        <w:textAlignment w:val="auto"/>
        <w:rPr>
          <w:rFonts w:ascii="仿宋_GB2312" w:hAnsi="Calibri" w:eastAsia="仿宋_GB2312" w:cs="Arial Black"/>
          <w:kern w:val="0"/>
          <w:sz w:val="32"/>
          <w:szCs w:val="32"/>
        </w:rPr>
      </w:pPr>
      <w:r>
        <w:rPr>
          <w:rFonts w:hint="eastAsia" w:ascii="宋体" w:hAnsi="宋体" w:eastAsia="宋体" w:cs="宋体"/>
          <w:b/>
          <w:bCs/>
          <w:kern w:val="0"/>
          <w:sz w:val="32"/>
          <w:szCs w:val="32"/>
          <w:lang w:val="en-US" w:eastAsia="zh-CN"/>
        </w:rPr>
        <w:t>承德市人民代表大会常务委员会</w:t>
      </w:r>
      <w:r>
        <w:rPr>
          <w:rFonts w:ascii="方正楷体_GBK" w:hAnsi="方正楷体_GBK" w:eastAsia="方正楷体_GBK" w:cs="方正楷体_GBK"/>
          <w:b/>
          <w:color w:val="000000"/>
          <w:sz w:val="32"/>
        </w:rPr>
        <w:t>部门职责：</w:t>
      </w:r>
      <w:r>
        <w:rPr>
          <w:rFonts w:hint="eastAsia" w:ascii="仿宋_GB2312" w:hAnsi="Calibri" w:eastAsia="仿宋_GB2312" w:cs="ArialUnicodeMS"/>
          <w:kern w:val="0"/>
          <w:sz w:val="32"/>
          <w:szCs w:val="32"/>
          <w:lang w:val="en-US" w:eastAsia="zh-CN"/>
        </w:rPr>
        <w:t>在本行政区域内，保证宪法、法律、行政法规和上级人民代表大会及其常务委员会决议的遵守和执行；领导或者主持市人民代表大会代表的选举，召集市人民代表大会会议；讨论、决定本市的政治、经济、教育、科学、文化、卫生、环境和资源保护、民政、民族等工作的重大事项，决定对本市的国民经济和社会发展计划、预算的部分变更；在市人民代表团大会闭会期间，决定副市长的个别任免；在市长、市中级人民法院院长、市人民检察院检察长因故不能担任职务的时候，决定代理人选（决定代理检察长须报省人民检察院和省人民代表大会常务委员会备案）；决定市人民政府秘书长、局长、委员会主任的任免；任免市中级人民法院副院长、庭长、副庭长、审判委员会委员、审判员，市人民检察院副检察长、检察委员会委员、检察员，批准任免县、自治县、区人民检察院检察长；在市人民代表大会闭会期间，决定撤销个别副市长的职务；决定撤销由它任命的市人民政府其他组成人员和市中级人民法院副院长、庭长、副庭长、审判委员会委员、审判员，市人民检察院副检察长、检察委员会委员、检察员的职务；在市人民代表大会闭会期间，补选本市出席的河北省人民代表大会代表和罢免个别代表；决定授予地方的荣誉称号。</w:t>
      </w:r>
    </w:p>
    <w:p>
      <w:pPr>
        <w:ind w:firstLine="640"/>
      </w:pPr>
    </w:p>
    <w:p>
      <w:pPr>
        <w:pStyle w:val="18"/>
      </w:pP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承德市人民代表大会常务委员会办公室</w:t>
            </w:r>
          </w:p>
        </w:tc>
        <w:tc>
          <w:tcPr>
            <w:tcW w:w="1843" w:type="dxa"/>
            <w:vAlign w:val="center"/>
          </w:tcPr>
          <w:p>
            <w:pPr>
              <w:pStyle w:val="14"/>
            </w:pPr>
            <w:r>
              <w:t>行政</w:t>
            </w:r>
          </w:p>
        </w:tc>
        <w:tc>
          <w:tcPr>
            <w:tcW w:w="2126" w:type="dxa"/>
            <w:vAlign w:val="center"/>
          </w:tcPr>
          <w:p>
            <w:pPr>
              <w:pStyle w:val="14"/>
            </w:pPr>
            <w:r>
              <w:t>正厅（地）级</w:t>
            </w:r>
          </w:p>
        </w:tc>
        <w:tc>
          <w:tcPr>
            <w:tcW w:w="3827" w:type="dxa"/>
            <w:vAlign w:val="center"/>
          </w:tcPr>
          <w:p>
            <w:pPr>
              <w:pStyle w:val="14"/>
            </w:pPr>
            <w:r>
              <w:t>财政拨款</w:t>
            </w:r>
          </w:p>
        </w:tc>
      </w:tr>
    </w:tbl>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olor w:val="000000" w:themeColor="text1"/>
          <w:sz w:val="32"/>
          <w:szCs w:val="32"/>
          <w14:textFill>
            <w14:solidFill>
              <w14:schemeClr w14:val="tx1"/>
            </w14:solidFill>
          </w14:textFill>
        </w:rPr>
      </w:pPr>
      <w:bookmarkStart w:id="10" w:name="_Toc_3_3_0000000011"/>
      <w:r>
        <w:rPr>
          <w:rFonts w:hint="eastAsia" w:ascii="仿宋_GB2312" w:hAnsi="Calibri" w:eastAsia="仿宋_GB2312" w:cs="ArialUnicodeMS"/>
          <w:kern w:val="0"/>
          <w:sz w:val="32"/>
          <w:szCs w:val="32"/>
          <w:lang w:val="en-US" w:eastAsia="zh-CN"/>
        </w:rPr>
        <w:t>我单位为承德市人民代表大会常务委员会办公室，性质为国家机关，</w:t>
      </w:r>
      <w:r>
        <w:rPr>
          <w:rFonts w:hint="eastAsia" w:ascii="仿宋" w:hAnsi="仿宋" w:eastAsia="仿宋"/>
          <w:sz w:val="32"/>
          <w:szCs w:val="32"/>
        </w:rPr>
        <w:t>单位规格为正厅局级，经费保障形式为财政全额拨款。</w:t>
      </w:r>
      <w:r>
        <w:rPr>
          <w:rFonts w:hint="eastAsia" w:ascii="仿宋_GB2312" w:hAnsi="Calibri" w:eastAsia="仿宋_GB2312" w:cs="ArialUnicodeMS"/>
          <w:kern w:val="0"/>
          <w:sz w:val="32"/>
          <w:szCs w:val="32"/>
          <w:lang w:val="en-US" w:eastAsia="zh-CN"/>
        </w:rPr>
        <w:t>法人代表刘文勤，财务负责人门玉生。我单位座落于河北省承德市双桥区府前路 1 号行政中心北楼，联系电话0314-2023708。机关人员编制 85人（其中行政编制 64 人，工勤编制 15 人，事业编6人）。</w:t>
      </w:r>
      <w:r>
        <w:rPr>
          <w:rFonts w:hint="eastAsia" w:ascii="仿宋_GB2312" w:hAnsi="Calibri" w:eastAsia="仿宋_GB2312" w:cs="ArialUnicodeMS"/>
          <w:b w:val="0"/>
          <w:bCs w:val="0"/>
          <w:kern w:val="0"/>
          <w:sz w:val="32"/>
          <w:szCs w:val="32"/>
          <w:lang w:val="en-US" w:eastAsia="zh-CN"/>
        </w:rPr>
        <w:t>机关下</w:t>
      </w:r>
      <w:r>
        <w:rPr>
          <w:rFonts w:hint="eastAsia" w:ascii="仿宋_GB2312" w:hAnsi="Calibri" w:eastAsia="仿宋_GB2312" w:cs="ArialUnicodeMS"/>
          <w:b w:val="0"/>
          <w:bCs w:val="0"/>
          <w:color w:val="000000" w:themeColor="text1"/>
          <w:kern w:val="0"/>
          <w:sz w:val="32"/>
          <w:szCs w:val="32"/>
          <w:highlight w:val="none"/>
          <w:shd w:val="clear" w:color="auto" w:fill="auto"/>
          <w:lang w:val="en-US" w:eastAsia="zh-CN"/>
          <w14:textFill>
            <w14:solidFill>
              <w14:schemeClr w14:val="tx1"/>
            </w14:solidFill>
          </w14:textFill>
        </w:rPr>
        <w:t>设3个处级综合办事机构和1个科级综合办事机构（分别是办公室、研究室、选举任免代表工作委员会和社会建设委办公室），7个工作委员会（分别是监察和司法工作委员会、财政经济</w:t>
      </w:r>
      <w:r>
        <w:rPr>
          <w:rFonts w:hint="eastAsia" w:ascii="仿宋_GB2312" w:hAnsi="Calibri" w:eastAsia="仿宋_GB2312" w:cs="ArialUnicodeMS"/>
          <w:color w:val="000000" w:themeColor="text1"/>
          <w:kern w:val="0"/>
          <w:sz w:val="32"/>
          <w:szCs w:val="32"/>
          <w:highlight w:val="none"/>
          <w:shd w:val="clear" w:color="auto" w:fill="auto"/>
          <w:lang w:val="en-US" w:eastAsia="zh-CN"/>
          <w14:textFill>
            <w14:solidFill>
              <w14:schemeClr w14:val="tx1"/>
            </w14:solidFill>
          </w14:textFill>
        </w:rPr>
        <w:t>工作委员会、农业和农村经济工作委员会、城乡建设环境资源工作委员会、教育科学文化卫生工作委员会、民族侨务外事工作委员会、法制工作委员）和1个事业机构（人大建设研究中心)。</w:t>
      </w:r>
      <w:r>
        <w:rPr>
          <w:rFonts w:hint="eastAsia" w:ascii="仿宋" w:hAnsi="仿宋" w:eastAsia="仿宋"/>
          <w:sz w:val="32"/>
          <w:szCs w:val="32"/>
        </w:rPr>
        <w:t>市人大常委会于2020年批准设立承德市人民代表大会常务委员会人大建设研究中心，为我单位所属事业单位，机构规格正科级。经费形式为财政性资金基本保障，分类类别为公益一类</w:t>
      </w:r>
      <w:r>
        <w:rPr>
          <w:rFonts w:hint="eastAsia" w:ascii="仿宋_GB2312" w:hAnsi="Calibri" w:eastAsia="仿宋_GB2312" w:cs="ArialUnicodeMS"/>
          <w:color w:val="000000" w:themeColor="text1"/>
          <w:kern w:val="0"/>
          <w:sz w:val="32"/>
          <w:szCs w:val="32"/>
          <w:highlight w:val="none"/>
          <w:shd w:val="clear" w:color="auto" w:fill="auto"/>
          <w:lang w:val="en-US" w:eastAsia="zh-CN"/>
          <w14:textFill>
            <w14:solidFill>
              <w14:schemeClr w14:val="tx1"/>
            </w14:solidFill>
          </w14:textFill>
        </w:rPr>
        <w:t>）。</w:t>
      </w:r>
      <w:r>
        <w:rPr>
          <w:rFonts w:hint="eastAsia" w:ascii="仿宋" w:hAnsi="仿宋" w:eastAsia="仿宋"/>
          <w:sz w:val="32"/>
          <w:szCs w:val="32"/>
        </w:rPr>
        <w:t>截止202</w:t>
      </w:r>
      <w:r>
        <w:rPr>
          <w:rFonts w:hint="eastAsia" w:ascii="仿宋" w:hAnsi="仿宋" w:eastAsia="仿宋"/>
          <w:sz w:val="32"/>
          <w:szCs w:val="32"/>
          <w:lang w:val="en-US" w:eastAsia="zh-CN"/>
        </w:rPr>
        <w:t>1</w:t>
      </w:r>
      <w:r>
        <w:rPr>
          <w:rFonts w:hint="eastAsia" w:ascii="仿宋" w:hAnsi="仿宋" w:eastAsia="仿宋"/>
          <w:sz w:val="32"/>
          <w:szCs w:val="32"/>
        </w:rPr>
        <w:t>年12月底，</w:t>
      </w:r>
      <w:r>
        <w:rPr>
          <w:rFonts w:hint="eastAsia" w:ascii="仿宋" w:hAnsi="仿宋" w:eastAsia="仿宋"/>
          <w:sz w:val="32"/>
          <w:szCs w:val="32"/>
          <w:lang w:eastAsia="zh-CN"/>
        </w:rPr>
        <w:t>承德市</w:t>
      </w:r>
      <w:r>
        <w:rPr>
          <w:rFonts w:hint="eastAsia" w:ascii="仿宋" w:hAnsi="仿宋" w:eastAsia="仿宋"/>
          <w:sz w:val="32"/>
          <w:szCs w:val="32"/>
        </w:rPr>
        <w:t>人大常委会实有在职人员</w:t>
      </w:r>
      <w:r>
        <w:rPr>
          <w:rFonts w:hint="eastAsia" w:ascii="仿宋" w:hAnsi="仿宋" w:eastAsia="仿宋"/>
          <w:sz w:val="32"/>
          <w:szCs w:val="32"/>
          <w:lang w:val="en-US" w:eastAsia="zh-CN"/>
        </w:rPr>
        <w:t>92</w:t>
      </w:r>
      <w:r>
        <w:rPr>
          <w:rFonts w:hint="eastAsia" w:ascii="仿宋" w:hAnsi="仿宋" w:eastAsia="仿宋"/>
          <w:sz w:val="32"/>
          <w:szCs w:val="32"/>
        </w:rPr>
        <w:t>人（其中：</w:t>
      </w:r>
      <w:r>
        <w:rPr>
          <w:rFonts w:hint="eastAsia" w:ascii="仿宋" w:hAnsi="仿宋" w:eastAsia="仿宋"/>
          <w:sz w:val="32"/>
          <w:szCs w:val="32"/>
          <w:lang w:eastAsia="zh-CN"/>
        </w:rPr>
        <w:t>干部</w:t>
      </w:r>
      <w:r>
        <w:rPr>
          <w:rFonts w:hint="eastAsia" w:ascii="仿宋" w:hAnsi="仿宋" w:eastAsia="仿宋"/>
          <w:sz w:val="32"/>
          <w:szCs w:val="32"/>
          <w:lang w:val="en-US" w:eastAsia="zh-CN"/>
        </w:rPr>
        <w:t>74</w:t>
      </w:r>
      <w:r>
        <w:rPr>
          <w:rFonts w:hint="eastAsia" w:ascii="仿宋" w:hAnsi="仿宋" w:eastAsia="仿宋"/>
          <w:sz w:val="32"/>
          <w:szCs w:val="32"/>
        </w:rPr>
        <w:t>人、工</w:t>
      </w:r>
      <w:r>
        <w:rPr>
          <w:rFonts w:hint="eastAsia" w:ascii="仿宋" w:hAnsi="仿宋" w:eastAsia="仿宋"/>
          <w:sz w:val="32"/>
          <w:szCs w:val="32"/>
          <w:lang w:eastAsia="zh-CN"/>
        </w:rPr>
        <w:t>勤</w:t>
      </w:r>
      <w:r>
        <w:rPr>
          <w:rFonts w:hint="eastAsia" w:ascii="仿宋" w:hAnsi="仿宋" w:eastAsia="仿宋"/>
          <w:sz w:val="32"/>
          <w:szCs w:val="32"/>
        </w:rPr>
        <w:t>1</w:t>
      </w:r>
      <w:r>
        <w:rPr>
          <w:rFonts w:hint="eastAsia" w:ascii="仿宋" w:hAnsi="仿宋" w:eastAsia="仿宋"/>
          <w:sz w:val="32"/>
          <w:szCs w:val="32"/>
          <w:lang w:val="en-US" w:eastAsia="zh-CN"/>
        </w:rPr>
        <w:t>1</w:t>
      </w:r>
      <w:r>
        <w:rPr>
          <w:rFonts w:hint="eastAsia" w:ascii="仿宋" w:hAnsi="仿宋" w:eastAsia="仿宋"/>
          <w:sz w:val="32"/>
          <w:szCs w:val="32"/>
        </w:rPr>
        <w:t>人</w:t>
      </w:r>
      <w:r>
        <w:rPr>
          <w:rFonts w:hint="eastAsia" w:ascii="仿宋" w:hAnsi="仿宋" w:eastAsia="仿宋"/>
          <w:sz w:val="32"/>
          <w:szCs w:val="32"/>
          <w:lang w:eastAsia="zh-CN"/>
        </w:rPr>
        <w:t>、</w:t>
      </w:r>
      <w:r>
        <w:rPr>
          <w:rFonts w:hint="eastAsia" w:ascii="仿宋" w:hAnsi="仿宋" w:eastAsia="仿宋"/>
          <w:sz w:val="32"/>
          <w:szCs w:val="32"/>
        </w:rPr>
        <w:t>事业编制</w:t>
      </w:r>
      <w:r>
        <w:rPr>
          <w:rFonts w:hint="eastAsia" w:ascii="仿宋" w:hAnsi="仿宋" w:eastAsia="仿宋"/>
          <w:sz w:val="32"/>
          <w:szCs w:val="32"/>
          <w:lang w:val="en-US" w:eastAsia="zh-CN"/>
        </w:rPr>
        <w:t>4</w:t>
      </w:r>
      <w:r>
        <w:rPr>
          <w:rFonts w:hint="eastAsia" w:ascii="仿宋" w:hAnsi="仿宋" w:eastAsia="仿宋"/>
          <w:sz w:val="32"/>
          <w:szCs w:val="32"/>
        </w:rPr>
        <w:t>人</w:t>
      </w:r>
      <w:r>
        <w:rPr>
          <w:rFonts w:hint="eastAsia" w:ascii="仿宋" w:hAnsi="仿宋" w:eastAsia="仿宋"/>
          <w:sz w:val="32"/>
          <w:szCs w:val="32"/>
          <w:lang w:eastAsia="zh-CN"/>
        </w:rPr>
        <w:t>、长期聘用人员</w:t>
      </w:r>
      <w:r>
        <w:rPr>
          <w:rFonts w:hint="eastAsia" w:ascii="仿宋" w:hAnsi="仿宋" w:eastAsia="仿宋"/>
          <w:sz w:val="32"/>
          <w:szCs w:val="32"/>
          <w:lang w:val="en-US" w:eastAsia="zh-CN"/>
        </w:rPr>
        <w:t>3人</w:t>
      </w:r>
      <w:r>
        <w:rPr>
          <w:rFonts w:hint="eastAsia" w:ascii="仿宋" w:hAnsi="仿宋" w:eastAsia="仿宋"/>
          <w:sz w:val="32"/>
          <w:szCs w:val="32"/>
        </w:rPr>
        <w:t>）；</w:t>
      </w:r>
      <w:r>
        <w:rPr>
          <w:rFonts w:hint="eastAsia" w:ascii="仿宋" w:hAnsi="仿宋" w:eastAsia="仿宋"/>
          <w:sz w:val="32"/>
          <w:szCs w:val="32"/>
          <w:lang w:eastAsia="zh-CN"/>
        </w:rPr>
        <w:t>离退休人员</w:t>
      </w:r>
      <w:r>
        <w:rPr>
          <w:rFonts w:hint="eastAsia" w:ascii="仿宋" w:hAnsi="仿宋" w:eastAsia="仿宋"/>
          <w:sz w:val="32"/>
          <w:szCs w:val="32"/>
          <w:lang w:val="en-US" w:eastAsia="zh-CN"/>
        </w:rPr>
        <w:t>81人（其中：</w:t>
      </w:r>
      <w:r>
        <w:rPr>
          <w:rFonts w:hint="eastAsia" w:ascii="仿宋" w:hAnsi="仿宋" w:eastAsia="仿宋"/>
          <w:sz w:val="32"/>
          <w:szCs w:val="32"/>
        </w:rPr>
        <w:t>离休3人</w:t>
      </w:r>
      <w:r>
        <w:rPr>
          <w:rFonts w:hint="eastAsia" w:ascii="仿宋" w:hAnsi="仿宋" w:eastAsia="仿宋"/>
          <w:sz w:val="32"/>
          <w:szCs w:val="32"/>
          <w:lang w:eastAsia="zh-CN"/>
        </w:rPr>
        <w:t>、</w:t>
      </w:r>
      <w:r>
        <w:rPr>
          <w:rFonts w:hint="eastAsia" w:ascii="仿宋" w:hAnsi="仿宋" w:eastAsia="仿宋"/>
          <w:sz w:val="32"/>
          <w:szCs w:val="32"/>
        </w:rPr>
        <w:t>退休</w:t>
      </w:r>
      <w:r>
        <w:rPr>
          <w:rFonts w:hint="eastAsia" w:ascii="仿宋" w:hAnsi="仿宋" w:eastAsia="仿宋"/>
          <w:sz w:val="32"/>
          <w:szCs w:val="32"/>
          <w:lang w:val="en-US" w:eastAsia="zh-CN"/>
        </w:rPr>
        <w:t>78</w:t>
      </w:r>
      <w:r>
        <w:rPr>
          <w:rFonts w:hint="eastAsia" w:ascii="仿宋" w:hAnsi="仿宋" w:eastAsia="仿宋"/>
          <w:sz w:val="32"/>
          <w:szCs w:val="32"/>
        </w:rPr>
        <w:t>人</w:t>
      </w:r>
      <w:r>
        <w:rPr>
          <w:rFonts w:hint="eastAsia" w:ascii="仿宋" w:hAnsi="仿宋" w:eastAsia="仿宋"/>
          <w:sz w:val="32"/>
          <w:szCs w:val="32"/>
          <w:lang w:eastAsia="zh-CN"/>
        </w:rPr>
        <w:t>），在职和离退休人员</w:t>
      </w:r>
      <w:r>
        <w:rPr>
          <w:rFonts w:hint="eastAsia" w:ascii="仿宋" w:hAnsi="仿宋" w:eastAsia="仿宋"/>
          <w:sz w:val="32"/>
          <w:szCs w:val="32"/>
        </w:rPr>
        <w:t>共计</w:t>
      </w:r>
      <w:r>
        <w:rPr>
          <w:rFonts w:hint="eastAsia" w:ascii="仿宋" w:hAnsi="仿宋" w:eastAsia="仿宋"/>
          <w:sz w:val="32"/>
          <w:szCs w:val="32"/>
          <w:lang w:val="en-US" w:eastAsia="zh-CN"/>
        </w:rPr>
        <w:t>173名</w:t>
      </w:r>
      <w:r>
        <w:rPr>
          <w:rFonts w:hint="eastAsia" w:ascii="仿宋" w:hAnsi="仿宋" w:eastAsia="仿宋"/>
          <w:sz w:val="32"/>
          <w:szCs w:val="32"/>
        </w:rPr>
        <w:t>。机关公务用车</w:t>
      </w:r>
      <w:r>
        <w:rPr>
          <w:rFonts w:hint="eastAsia" w:ascii="仿宋" w:hAnsi="仿宋" w:eastAsia="仿宋"/>
          <w:sz w:val="32"/>
          <w:szCs w:val="32"/>
          <w:lang w:eastAsia="zh-CN"/>
        </w:rPr>
        <w:t>编制</w:t>
      </w:r>
      <w:r>
        <w:rPr>
          <w:rFonts w:hint="eastAsia" w:ascii="仿宋" w:hAnsi="仿宋" w:eastAsia="仿宋"/>
          <w:sz w:val="32"/>
          <w:szCs w:val="32"/>
          <w:lang w:val="en-US" w:eastAsia="zh-CN"/>
        </w:rPr>
        <w:t>9辆，</w:t>
      </w:r>
      <w:r>
        <w:rPr>
          <w:rFonts w:hint="eastAsia" w:ascii="仿宋" w:hAnsi="仿宋" w:eastAsia="仿宋"/>
          <w:sz w:val="32"/>
          <w:szCs w:val="32"/>
        </w:rPr>
        <w:t>实有</w:t>
      </w:r>
      <w:r>
        <w:rPr>
          <w:rFonts w:hint="eastAsia" w:ascii="仿宋" w:hAnsi="仿宋" w:eastAsia="仿宋"/>
          <w:sz w:val="32"/>
          <w:szCs w:val="32"/>
          <w:lang w:eastAsia="zh-CN"/>
        </w:rPr>
        <w:t>公务用车</w:t>
      </w:r>
      <w:r>
        <w:rPr>
          <w:rFonts w:hint="eastAsia" w:ascii="仿宋" w:hAnsi="仿宋" w:eastAsia="仿宋"/>
          <w:sz w:val="32"/>
          <w:szCs w:val="32"/>
        </w:rPr>
        <w:t>9辆</w:t>
      </w:r>
      <w:r>
        <w:rPr>
          <w:rFonts w:hint="eastAsia" w:ascii="仿宋" w:hAnsi="仿宋" w:eastAsia="仿宋"/>
          <w:color w:val="auto"/>
          <w:sz w:val="32"/>
          <w:szCs w:val="32"/>
          <w:lang w:eastAsia="zh-CN"/>
        </w:rPr>
        <w:t>（其中：机要通讯车辆</w:t>
      </w:r>
      <w:r>
        <w:rPr>
          <w:rFonts w:hint="eastAsia" w:ascii="仿宋" w:hAnsi="仿宋" w:eastAsia="仿宋"/>
          <w:color w:val="auto"/>
          <w:sz w:val="32"/>
          <w:szCs w:val="32"/>
          <w:lang w:val="en-US" w:eastAsia="zh-CN"/>
        </w:rPr>
        <w:t>6辆；离退休老干部用车2辆；</w:t>
      </w:r>
      <w:r>
        <w:rPr>
          <w:rFonts w:hint="eastAsia" w:ascii="仿宋" w:hAnsi="仿宋" w:eastAsia="仿宋"/>
          <w:color w:val="auto"/>
          <w:sz w:val="32"/>
          <w:szCs w:val="32"/>
          <w:lang w:eastAsia="zh-CN"/>
        </w:rPr>
        <w:t>其它车辆</w:t>
      </w:r>
      <w:r>
        <w:rPr>
          <w:rFonts w:hint="eastAsia" w:ascii="仿宋" w:hAnsi="仿宋" w:eastAsia="仿宋"/>
          <w:color w:val="000000" w:themeColor="text1"/>
          <w:sz w:val="32"/>
          <w:szCs w:val="32"/>
          <w:lang w:val="en-US" w:eastAsia="zh-CN"/>
          <w14:textFill>
            <w14:solidFill>
              <w14:schemeClr w14:val="tx1"/>
            </w14:solidFill>
          </w14:textFill>
        </w:rPr>
        <w:t>1辆</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ind w:firstLine="5120" w:firstLineChars="1600"/>
        <w:jc w:val="both"/>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人大常委会内部</w:t>
      </w:r>
      <w:r>
        <w:rPr>
          <w:rFonts w:hint="eastAsia" w:ascii="仿宋_GB2312" w:hAnsi="宋体" w:eastAsia="仿宋_GB2312" w:cs="宋体"/>
          <w:kern w:val="0"/>
          <w:sz w:val="32"/>
          <w:szCs w:val="32"/>
        </w:rPr>
        <w:t>机构设置情况</w:t>
      </w:r>
    </w:p>
    <w:tbl>
      <w:tblPr>
        <w:tblStyle w:val="5"/>
        <w:tblW w:w="97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17"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17" w:type="dxa"/>
            <w:vMerge w:val="continue"/>
            <w:vAlign w:val="center"/>
          </w:tcPr>
          <w:p>
            <w:pPr>
              <w:spacing w:line="300" w:lineRule="exact"/>
              <w:jc w:val="left"/>
              <w:outlineLvl w:val="0"/>
              <w:rPr>
                <w:rFonts w:ascii="Times New Roman" w:hAnsi="Times New Roman" w:cs="Times New Roman"/>
                <w:szCs w:val="24"/>
              </w:rPr>
            </w:pPr>
          </w:p>
        </w:tc>
        <w:tc>
          <w:tcPr>
            <w:tcW w:w="1134" w:type="dxa"/>
            <w:vMerge w:val="continue"/>
            <w:vAlign w:val="center"/>
          </w:tcPr>
          <w:p>
            <w:pPr>
              <w:spacing w:line="300" w:lineRule="exact"/>
              <w:jc w:val="left"/>
              <w:outlineLvl w:val="0"/>
              <w:rPr>
                <w:rFonts w:ascii="Times New Roman" w:hAnsi="Times New Roman" w:cs="Times New Roman"/>
                <w:szCs w:val="24"/>
              </w:rPr>
            </w:pPr>
          </w:p>
        </w:tc>
        <w:tc>
          <w:tcPr>
            <w:tcW w:w="1276" w:type="dxa"/>
            <w:vMerge w:val="continue"/>
            <w:vAlign w:val="center"/>
          </w:tcPr>
          <w:p>
            <w:pPr>
              <w:spacing w:line="300" w:lineRule="exact"/>
              <w:jc w:val="left"/>
              <w:outlineLvl w:val="0"/>
              <w:rPr>
                <w:rFonts w:ascii="Times New Roman" w:hAnsi="Times New Roman" w:cs="Times New Roman"/>
                <w:szCs w:val="24"/>
              </w:rPr>
            </w:pPr>
          </w:p>
        </w:tc>
        <w:tc>
          <w:tcPr>
            <w:tcW w:w="2902" w:type="dxa"/>
            <w:vMerge w:val="continue"/>
            <w:vAlign w:val="center"/>
          </w:tcPr>
          <w:p>
            <w:pPr>
              <w:spacing w:line="300" w:lineRule="exact"/>
              <w:jc w:val="left"/>
              <w:outlineLvl w:val="0"/>
              <w:rPr>
                <w:rFonts w:ascii="Times New Roman" w:hAnsi="Times New Roman"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办公室</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行政</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正处级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研究室</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选举任免代表工作委员会</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内务司法工作委员会</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 xml:space="preserve">财政经济工作委员会 </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农业和农村工作委员会</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城乡建设和环境资源工作委员会</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教育科学文化卫生工作委员会</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民族侨务外事工作委员会</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法制工作委员会</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人大建设研究中心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正科级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财政性资金基本保障</w:t>
            </w:r>
          </w:p>
        </w:tc>
      </w:tr>
    </w:tbl>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olor w:val="000000" w:themeColor="text1"/>
          <w:sz w:val="32"/>
          <w:szCs w:val="32"/>
          <w:lang w:val="en-US" w:eastAsia="zh-CN"/>
          <w14:textFill>
            <w14:solidFill>
              <w14:schemeClr w14:val="tx1"/>
            </w14:solidFill>
          </w14:textFill>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pPr>
      <w:r>
        <w:rPr>
          <w:rFonts w:ascii="黑体" w:hAnsi="黑体" w:eastAsia="黑体" w:cs="黑体"/>
          <w:color w:val="000000"/>
          <w:sz w:val="32"/>
        </w:rPr>
        <w:t>二、部门预算安排的总体情况</w:t>
      </w:r>
      <w:bookmarkEnd w:id="1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按照预算管理有关规定，目前我省部门预算的编制实行综合预算管理，即全部收入和支出都反映在预算中。</w:t>
      </w:r>
      <w:r>
        <w:rPr>
          <w:rFonts w:hint="eastAsia" w:ascii="仿宋_GB2312" w:hAnsi="仿宋_GB2312" w:eastAsia="仿宋_GB2312" w:cs="仿宋_GB2312"/>
          <w:sz w:val="32"/>
          <w:szCs w:val="32"/>
        </w:rPr>
        <w:t>按照预算管理有关规定，目前我省部门预算的编制实行综合预算制度，即全部收入和支出都反映在预算中。</w:t>
      </w:r>
      <w:r>
        <w:rPr>
          <w:rFonts w:hint="eastAsia" w:ascii="仿宋_GB2312" w:hAnsi="仿宋_GB2312" w:eastAsia="仿宋_GB2312" w:cs="仿宋_GB2312"/>
          <w:color w:val="000000"/>
          <w:sz w:val="32"/>
          <w:szCs w:val="32"/>
        </w:rPr>
        <w:t>承德市人民代表大会常务委员会办公室机关及所属事业单位的收支包含在部门预算中。</w:t>
      </w:r>
      <w:r>
        <w:rPr>
          <w:rFonts w:hint="eastAsia" w:ascii="仿宋_GB2312" w:hAnsi="仿宋_GB2312" w:eastAsia="仿宋_GB2312" w:cs="仿宋_GB2312"/>
          <w:sz w:val="32"/>
          <w:szCs w:val="32"/>
        </w:rPr>
        <w:t>纳入本部门预算汇编范围的独立核算单位1个，即承德市人民代表大会常务委员会办公室，且无下属单位。根据财政局202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年2月1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日下发的预算批复《承德市财政局关于批复202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年市本级部门收支预算的通知》（承财预【202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】10号），我单位202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年预算安排总体情况如下：</w:t>
      </w:r>
    </w:p>
    <w:p>
      <w:pPr>
        <w:numPr>
          <w:ilvl w:val="0"/>
          <w:numId w:val="1"/>
        </w:numPr>
        <w:ind w:firstLine="643" w:firstLineChars="200"/>
        <w:rPr>
          <w:rFonts w:ascii="仿宋" w:hAnsi="仿宋" w:eastAsia="仿宋" w:cs="Times New Roman"/>
          <w:b/>
          <w:sz w:val="32"/>
          <w:szCs w:val="32"/>
        </w:rPr>
      </w:pPr>
      <w:r>
        <w:rPr>
          <w:rFonts w:ascii="仿宋" w:hAnsi="仿宋" w:eastAsia="仿宋" w:cs="Times New Roman"/>
          <w:b/>
          <w:sz w:val="32"/>
          <w:szCs w:val="32"/>
        </w:rPr>
        <w:t>收入说明</w:t>
      </w:r>
    </w:p>
    <w:p>
      <w:pPr>
        <w:numPr>
          <w:ilvl w:val="0"/>
          <w:numId w:val="0"/>
        </w:numPr>
        <w:ind w:firstLine="640" w:firstLineChars="200"/>
        <w:rPr>
          <w:rFonts w:ascii="仿宋_GB2312" w:hAnsi="仿宋_GB2312" w:eastAsia="仿宋_GB2312" w:cs="仿宋_GB2312"/>
          <w:b w:val="0"/>
          <w:bCs/>
          <w:sz w:val="32"/>
          <w:szCs w:val="32"/>
        </w:rPr>
      </w:pPr>
      <w:r>
        <w:rPr>
          <w:rFonts w:hint="eastAsia" w:ascii="仿宋" w:hAnsi="仿宋" w:eastAsia="仿宋" w:cs="Times New Roman"/>
          <w:b w:val="0"/>
          <w:bCs/>
          <w:sz w:val="32"/>
          <w:szCs w:val="32"/>
          <w:lang w:val="en-US" w:eastAsia="zh-CN"/>
        </w:rPr>
        <w:t>2022年预算收入为2412.38万元，其中基本收入1983.32万元，包括人员经费1752.09万元和日常公用经费231.23万元；项目经费429.06万元。以上收入全部为一般财政拨款收入。</w:t>
      </w:r>
      <w:r>
        <w:rPr>
          <w:rFonts w:hint="eastAsia" w:ascii="仿宋_GB2312" w:hAnsi="仿宋_GB2312" w:eastAsia="仿宋_GB2312" w:cs="仿宋_GB2312"/>
          <w:b w:val="0"/>
          <w:bCs/>
          <w:sz w:val="32"/>
          <w:szCs w:val="32"/>
        </w:rPr>
        <w:t>2021年预算收入为2123.71万元，其中基本收入1703.71万元，包括人员经费1494.77万元和日常公用经费208.94万元；项目经费420万元</w:t>
      </w:r>
      <w:r>
        <w:rPr>
          <w:rFonts w:hint="eastAsia" w:ascii="仿宋_GB2312" w:hAnsi="仿宋_GB2312" w:eastAsia="仿宋_GB2312" w:cs="仿宋_GB2312"/>
          <w:b w:val="0"/>
          <w:bCs/>
          <w:sz w:val="32"/>
          <w:szCs w:val="32"/>
          <w:lang w:eastAsia="zh-CN"/>
        </w:rPr>
        <w:t>。以上收入</w:t>
      </w:r>
      <w:r>
        <w:rPr>
          <w:rFonts w:hint="eastAsia" w:ascii="仿宋_GB2312" w:hAnsi="仿宋_GB2312" w:eastAsia="仿宋_GB2312" w:cs="仿宋_GB2312"/>
          <w:b w:val="0"/>
          <w:bCs/>
          <w:sz w:val="32"/>
          <w:szCs w:val="32"/>
        </w:rPr>
        <w:t>全部为一般财政拨款收入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202</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年比202</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年预算收入增加了</w:t>
      </w:r>
      <w:r>
        <w:rPr>
          <w:rFonts w:hint="eastAsia" w:ascii="仿宋_GB2312" w:hAnsi="仿宋_GB2312" w:eastAsia="仿宋_GB2312" w:cs="仿宋_GB2312"/>
          <w:b w:val="0"/>
          <w:bCs/>
          <w:sz w:val="32"/>
          <w:szCs w:val="32"/>
          <w:lang w:val="en-US" w:eastAsia="zh-CN"/>
        </w:rPr>
        <w:t>288.67</w:t>
      </w:r>
      <w:r>
        <w:rPr>
          <w:rFonts w:hint="eastAsia" w:ascii="仿宋_GB2312" w:hAnsi="仿宋_GB2312" w:eastAsia="仿宋_GB2312" w:cs="仿宋_GB2312"/>
          <w:b w:val="0"/>
          <w:bCs/>
          <w:sz w:val="32"/>
          <w:szCs w:val="32"/>
        </w:rPr>
        <w:t>万元，增加</w:t>
      </w:r>
      <w:r>
        <w:rPr>
          <w:rFonts w:hint="eastAsia" w:ascii="仿宋_GB2312" w:hAnsi="仿宋_GB2312" w:eastAsia="仿宋_GB2312" w:cs="仿宋_GB2312"/>
          <w:b w:val="0"/>
          <w:bCs/>
          <w:sz w:val="32"/>
          <w:szCs w:val="32"/>
          <w:lang w:val="en-US" w:eastAsia="zh-CN"/>
        </w:rPr>
        <w:t>13</w:t>
      </w:r>
      <w:r>
        <w:rPr>
          <w:rFonts w:hint="eastAsia" w:ascii="仿宋_GB2312" w:hAnsi="仿宋_GB2312" w:eastAsia="仿宋_GB2312" w:cs="仿宋_GB2312"/>
          <w:b w:val="0"/>
          <w:bCs/>
          <w:sz w:val="32"/>
          <w:szCs w:val="32"/>
        </w:rPr>
        <w:t>%。主要原因为项目经费收入和人员经费收入都有增加。</w:t>
      </w:r>
    </w:p>
    <w:p>
      <w:pPr>
        <w:numPr>
          <w:ilvl w:val="0"/>
          <w:numId w:val="2"/>
        </w:numPr>
        <w:ind w:firstLine="640"/>
        <w:rPr>
          <w:rFonts w:ascii="仿宋" w:hAnsi="仿宋" w:eastAsia="仿宋" w:cs="Times New Roman"/>
          <w:b/>
          <w:sz w:val="32"/>
          <w:szCs w:val="32"/>
        </w:rPr>
      </w:pPr>
      <w:r>
        <w:rPr>
          <w:rFonts w:ascii="仿宋" w:hAnsi="仿宋" w:eastAsia="仿宋" w:cs="Times New Roman"/>
          <w:b/>
          <w:sz w:val="32"/>
          <w:szCs w:val="32"/>
        </w:rPr>
        <w:t>支出说明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收支预算总表支出栏、基本支出表、项目支出表按经济分类和支出功能分类科目编制，反映承德市人民代表大会常务委员会办公室年度部门预算中支出预算的总体情况。</w:t>
      </w:r>
      <w:r>
        <w:rPr>
          <w:rFonts w:hint="eastAsia" w:ascii="仿宋_GB2312" w:hAnsi="仿宋_GB2312" w:eastAsia="仿宋_GB2312" w:cs="仿宋_GB2312"/>
          <w:sz w:val="32"/>
          <w:szCs w:val="32"/>
          <w:lang w:val="en-US" w:eastAsia="zh-CN"/>
        </w:rPr>
        <w:t>2022年预算收出为</w:t>
      </w:r>
      <w:r>
        <w:rPr>
          <w:rFonts w:hint="eastAsia" w:ascii="仿宋" w:hAnsi="仿宋" w:eastAsia="仿宋" w:cs="Times New Roman"/>
          <w:b w:val="0"/>
          <w:bCs/>
          <w:sz w:val="32"/>
          <w:szCs w:val="32"/>
          <w:lang w:val="en-US" w:eastAsia="zh-CN"/>
        </w:rPr>
        <w:t>2412.38万元，其中基本支出1983.32万元，包括人员经费1752.09万元和日常公用经费231.23万元；项目经费429.06万元。全部为本级支出。</w:t>
      </w:r>
      <w:r>
        <w:rPr>
          <w:rFonts w:hint="eastAsia" w:ascii="仿宋_GB2312" w:hAnsi="仿宋_GB2312" w:eastAsia="仿宋_GB2312" w:cs="仿宋_GB2312"/>
          <w:sz w:val="32"/>
          <w:szCs w:val="32"/>
        </w:rPr>
        <w:t>2021年预算收入为2123.71万元，其中基本收入1703.71万元，包括人员经费1494.77万元和日常公用经费208.94万元；项目经费420万元，全部为本级支出。202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年比202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年预算支出增加了</w:t>
      </w:r>
      <w:r>
        <w:rPr>
          <w:rFonts w:hint="eastAsia" w:ascii="仿宋_GB2312" w:hAnsi="仿宋_GB2312" w:eastAsia="仿宋_GB2312" w:cs="仿宋_GB2312"/>
          <w:sz w:val="32"/>
          <w:szCs w:val="32"/>
          <w:lang w:val="en-US" w:eastAsia="zh-CN"/>
        </w:rPr>
        <w:t>288.67万元，增加13%。主要原因为项目支出和人员经费支出都有增加。</w:t>
      </w:r>
    </w:p>
    <w:p>
      <w:pPr>
        <w:numPr>
          <w:ilvl w:val="0"/>
          <w:numId w:val="2"/>
        </w:numPr>
        <w:ind w:firstLine="640"/>
        <w:rPr>
          <w:rFonts w:ascii="仿宋" w:hAnsi="仿宋" w:eastAsia="仿宋" w:cs="Times New Roman"/>
          <w:b/>
          <w:sz w:val="32"/>
          <w:szCs w:val="32"/>
        </w:rPr>
      </w:pPr>
      <w:r>
        <w:rPr>
          <w:rFonts w:ascii="仿宋" w:hAnsi="仿宋" w:eastAsia="仿宋" w:cs="Times New Roman"/>
          <w:b/>
          <w:sz w:val="32"/>
          <w:szCs w:val="32"/>
        </w:rPr>
        <w:t>比上年增减情况</w:t>
      </w:r>
    </w:p>
    <w:p>
      <w:pPr>
        <w:ind w:firstLine="640" w:firstLineChars="200"/>
        <w:rPr>
          <w:rFonts w:ascii="仿宋" w:hAnsi="仿宋" w:eastAsia="仿宋" w:cs="仿宋"/>
          <w:kern w:val="0"/>
          <w:sz w:val="32"/>
          <w:szCs w:val="32"/>
        </w:rPr>
      </w:pPr>
      <w:r>
        <w:rPr>
          <w:rFonts w:hint="eastAsia" w:ascii="仿宋_GB2312" w:hAnsi="仿宋_GB2312" w:eastAsia="仿宋_GB2312" w:cs="仿宋_GB2312"/>
          <w:sz w:val="32"/>
          <w:szCs w:val="32"/>
          <w:lang w:val="en-US" w:eastAsia="zh-CN"/>
        </w:rPr>
        <w:t>2022年部门预算较2021年增长288.67万元，其中基本收入支出增长279.61万元，（人员经费增长257.32万元、公用经费增长22.29万元），项目收入支出增长9.06万元。</w:t>
      </w:r>
      <w:r>
        <w:rPr>
          <w:rFonts w:hint="eastAsia" w:ascii="仿宋_GB2312" w:hAnsi="仿宋_GB2312" w:eastAsia="仿宋_GB2312" w:cs="仿宋_GB2312"/>
          <w:sz w:val="32"/>
          <w:szCs w:val="32"/>
        </w:rPr>
        <w:t>主要原因为：</w:t>
      </w:r>
      <w:r>
        <w:rPr>
          <w:rFonts w:hint="eastAsia" w:ascii="仿宋" w:hAnsi="仿宋" w:eastAsia="仿宋" w:cs="仿宋"/>
          <w:kern w:val="0"/>
          <w:sz w:val="32"/>
          <w:szCs w:val="32"/>
        </w:rPr>
        <w:t>其一，机关因工作需要新调入行政、事业人员若干，又加之机关原有人员职务变动造成工资及各项津补贴的增长，</w:t>
      </w:r>
      <w:r>
        <w:rPr>
          <w:rFonts w:hint="eastAsia" w:ascii="仿宋" w:hAnsi="仿宋" w:eastAsia="仿宋" w:cs="仿宋"/>
          <w:kern w:val="0"/>
          <w:sz w:val="32"/>
          <w:szCs w:val="32"/>
          <w:lang w:eastAsia="zh-CN"/>
        </w:rPr>
        <w:t>并且增加了绩效奖励和预留增资部分，</w:t>
      </w:r>
      <w:r>
        <w:rPr>
          <w:rFonts w:hint="eastAsia" w:ascii="仿宋" w:hAnsi="仿宋" w:eastAsia="仿宋" w:cs="仿宋"/>
          <w:kern w:val="0"/>
          <w:sz w:val="32"/>
          <w:szCs w:val="32"/>
        </w:rPr>
        <w:t>故</w:t>
      </w:r>
      <w:r>
        <w:rPr>
          <w:rFonts w:hint="eastAsia" w:ascii="仿宋_GB2312" w:hAnsi="仿宋_GB2312" w:eastAsia="仿宋_GB2312" w:cs="仿宋_GB2312"/>
          <w:sz w:val="32"/>
          <w:szCs w:val="32"/>
        </w:rPr>
        <w:t>人员经费增长了</w:t>
      </w:r>
      <w:r>
        <w:rPr>
          <w:rFonts w:hint="eastAsia" w:ascii="仿宋_GB2312" w:hAnsi="仿宋_GB2312" w:eastAsia="仿宋_GB2312" w:cs="仿宋_GB2312"/>
          <w:sz w:val="32"/>
          <w:szCs w:val="32"/>
          <w:lang w:val="en-US" w:eastAsia="zh-CN"/>
        </w:rPr>
        <w:t>257.32</w:t>
      </w:r>
      <w:r>
        <w:rPr>
          <w:rFonts w:hint="eastAsia" w:ascii="仿宋_GB2312" w:hAnsi="仿宋_GB2312" w:eastAsia="仿宋_GB2312" w:cs="仿宋_GB2312"/>
          <w:sz w:val="32"/>
          <w:szCs w:val="32"/>
        </w:rPr>
        <w:t>万元。其二，</w:t>
      </w:r>
      <w:r>
        <w:rPr>
          <w:rFonts w:hint="eastAsia" w:ascii="仿宋_GB2312" w:hAnsi="仿宋_GB2312" w:eastAsia="仿宋_GB2312" w:cs="仿宋_GB2312"/>
          <w:sz w:val="32"/>
          <w:szCs w:val="32"/>
          <w:lang w:eastAsia="zh-CN"/>
        </w:rPr>
        <w:t>因机关工作需要，办公用品、办公耗材、印刷费用增加，故公用经费增长</w:t>
      </w:r>
      <w:r>
        <w:rPr>
          <w:rFonts w:hint="eastAsia" w:ascii="仿宋_GB2312" w:hAnsi="仿宋_GB2312" w:eastAsia="仿宋_GB2312" w:cs="仿宋_GB2312"/>
          <w:sz w:val="32"/>
          <w:szCs w:val="32"/>
          <w:lang w:val="en-US" w:eastAsia="zh-CN"/>
        </w:rPr>
        <w:t>22.29万元。其三，项目经费的增长主要是会议费预算增加，因疫情防控需要，会议召开前、中期都会组织与会代表、工作人员大规模核酸检测三次，并且根据疫情防控组的工作需要，需采购必要的防疫物资，故项目经费增加了9.06万元。</w:t>
      </w:r>
    </w:p>
    <w:p>
      <w:pPr>
        <w:spacing w:before="10" w:after="10" w:line="360" w:lineRule="auto"/>
        <w:outlineLvl w:val="2"/>
        <w:rPr>
          <w:rFonts w:ascii="黑体" w:hAnsi="黑体" w:eastAsia="黑体" w:cs="黑体"/>
          <w:color w:val="000000"/>
          <w:sz w:val="32"/>
        </w:rPr>
      </w:pPr>
      <w:bookmarkStart w:id="11" w:name="_Toc_3_3_0000000012"/>
    </w:p>
    <w:p>
      <w:pPr>
        <w:numPr>
          <w:ilvl w:val="0"/>
          <w:numId w:val="3"/>
        </w:numPr>
        <w:spacing w:before="10" w:after="10" w:line="360" w:lineRule="auto"/>
        <w:ind w:firstLine="640" w:firstLineChars="200"/>
        <w:outlineLvl w:val="2"/>
        <w:rPr>
          <w:rFonts w:ascii="黑体" w:hAnsi="黑体" w:eastAsia="黑体" w:cs="黑体"/>
          <w:color w:val="000000"/>
          <w:sz w:val="32"/>
        </w:rPr>
      </w:pPr>
      <w:r>
        <w:rPr>
          <w:rFonts w:ascii="黑体" w:hAnsi="黑体" w:eastAsia="黑体" w:cs="黑体"/>
          <w:color w:val="000000"/>
          <w:sz w:val="32"/>
        </w:rPr>
        <w:t>机关运行经费安排情况</w:t>
      </w:r>
      <w:bookmarkEnd w:id="11"/>
    </w:p>
    <w:p>
      <w:pPr>
        <w:autoSpaceDE w:val="0"/>
        <w:autoSpaceDN w:val="0"/>
        <w:adjustRightInd w:val="0"/>
        <w:ind w:left="198"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2022年度机关运行经费共计安排231.23万元，</w:t>
      </w:r>
      <w:r>
        <w:rPr>
          <w:rFonts w:hint="eastAsia" w:ascii="仿宋_GB2312" w:hAnsi="仿宋_GB2312" w:eastAsia="仿宋_GB2312" w:cs="仿宋_GB2312"/>
          <w:sz w:val="32"/>
          <w:szCs w:val="32"/>
        </w:rPr>
        <w:t>主要用于保证机关正常运转</w:t>
      </w:r>
      <w:r>
        <w:rPr>
          <w:rFonts w:hint="eastAsia" w:ascii="仿宋_GB2312" w:hAnsi="仿宋_GB2312" w:eastAsia="仿宋_GB2312" w:cs="仿宋_GB2312"/>
          <w:sz w:val="32"/>
          <w:szCs w:val="32"/>
          <w:lang w:eastAsia="zh-CN"/>
        </w:rPr>
        <w:t>以及在职和离退休人员福利。其中：</w:t>
      </w:r>
      <w:r>
        <w:rPr>
          <w:rFonts w:hint="eastAsia" w:ascii="仿宋_GB2312" w:hAnsi="仿宋_GB2312" w:eastAsia="仿宋_GB2312" w:cs="仿宋_GB2312"/>
          <w:sz w:val="32"/>
          <w:szCs w:val="32"/>
        </w:rPr>
        <w:t>办公费</w:t>
      </w:r>
      <w:r>
        <w:rPr>
          <w:rFonts w:hint="eastAsia" w:ascii="仿宋_GB2312" w:hAnsi="仿宋_GB2312" w:eastAsia="仿宋_GB2312" w:cs="仿宋_GB2312"/>
          <w:sz w:val="32"/>
          <w:szCs w:val="32"/>
          <w:lang w:val="en-US" w:eastAsia="zh-CN"/>
        </w:rPr>
        <w:t>25.09</w:t>
      </w:r>
      <w:r>
        <w:rPr>
          <w:rFonts w:hint="eastAsia" w:ascii="仿宋_GB2312" w:hAnsi="仿宋_GB2312" w:eastAsia="仿宋_GB2312" w:cs="仿宋_GB2312"/>
          <w:sz w:val="32"/>
          <w:szCs w:val="32"/>
        </w:rPr>
        <w:t>万元、移动通讯补贴</w:t>
      </w:r>
      <w:r>
        <w:rPr>
          <w:rFonts w:hint="eastAsia" w:ascii="仿宋_GB2312" w:hAnsi="仿宋_GB2312" w:eastAsia="仿宋_GB2312" w:cs="仿宋_GB2312"/>
          <w:sz w:val="32"/>
          <w:szCs w:val="32"/>
          <w:lang w:val="en-US" w:eastAsia="zh-CN"/>
        </w:rPr>
        <w:t>46.08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邮电费</w:t>
      </w:r>
      <w:r>
        <w:rPr>
          <w:rFonts w:hint="eastAsia" w:ascii="仿宋_GB2312" w:hAnsi="仿宋_GB2312" w:eastAsia="仿宋_GB2312" w:cs="仿宋_GB2312"/>
          <w:sz w:val="32"/>
          <w:szCs w:val="32"/>
          <w:lang w:val="en-US" w:eastAsia="zh-CN"/>
        </w:rPr>
        <w:t>7.41</w:t>
      </w:r>
      <w:r>
        <w:rPr>
          <w:rFonts w:hint="eastAsia" w:ascii="仿宋_GB2312" w:hAnsi="仿宋_GB2312" w:eastAsia="仿宋_GB2312" w:cs="仿宋_GB2312"/>
          <w:sz w:val="32"/>
          <w:szCs w:val="32"/>
        </w:rPr>
        <w:t>万元、差旅费</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万元、公务用车运行维护费6.3万元、离</w:t>
      </w:r>
      <w:r>
        <w:rPr>
          <w:rFonts w:hint="eastAsia" w:ascii="仿宋_GB2312" w:hAnsi="仿宋_GB2312" w:eastAsia="仿宋_GB2312" w:cs="仿宋_GB2312"/>
          <w:sz w:val="32"/>
          <w:szCs w:val="32"/>
          <w:lang w:eastAsia="zh-CN"/>
        </w:rPr>
        <w:t>退休干部公用经费、特需费、退休住宅公用电话费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福利费共计</w:t>
      </w:r>
      <w:r>
        <w:rPr>
          <w:rFonts w:hint="eastAsia" w:ascii="仿宋_GB2312" w:hAnsi="仿宋_GB2312" w:eastAsia="仿宋_GB2312" w:cs="仿宋_GB2312"/>
          <w:sz w:val="32"/>
          <w:szCs w:val="32"/>
          <w:lang w:val="en-US" w:eastAsia="zh-CN"/>
        </w:rPr>
        <w:t>16.58万元、</w:t>
      </w:r>
      <w:r>
        <w:rPr>
          <w:rFonts w:hint="eastAsia" w:ascii="仿宋_GB2312" w:hAnsi="仿宋_GB2312" w:eastAsia="仿宋_GB2312" w:cs="仿宋_GB2312"/>
          <w:sz w:val="32"/>
          <w:szCs w:val="32"/>
        </w:rPr>
        <w:t>公务交通补贴</w:t>
      </w:r>
      <w:r>
        <w:rPr>
          <w:rFonts w:hint="eastAsia" w:ascii="仿宋_GB2312" w:hAnsi="仿宋_GB2312" w:eastAsia="仿宋_GB2312" w:cs="仿宋_GB2312"/>
          <w:sz w:val="32"/>
          <w:szCs w:val="32"/>
          <w:lang w:val="en-US" w:eastAsia="zh-CN"/>
        </w:rPr>
        <w:t>92.05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按比例计提的</w:t>
      </w:r>
      <w:r>
        <w:rPr>
          <w:rFonts w:hint="eastAsia" w:ascii="仿宋_GB2312" w:hAnsi="仿宋_GB2312" w:eastAsia="仿宋_GB2312" w:cs="仿宋_GB2312"/>
          <w:sz w:val="32"/>
          <w:szCs w:val="32"/>
        </w:rPr>
        <w:t>接待费1.2万元、工会经费</w:t>
      </w:r>
      <w:r>
        <w:rPr>
          <w:rFonts w:hint="eastAsia" w:ascii="仿宋_GB2312" w:hAnsi="仿宋_GB2312" w:eastAsia="仿宋_GB2312" w:cs="仿宋_GB2312"/>
          <w:sz w:val="32"/>
          <w:szCs w:val="32"/>
          <w:lang w:val="en-US" w:eastAsia="zh-CN"/>
        </w:rPr>
        <w:t>9.81</w:t>
      </w:r>
      <w:r>
        <w:rPr>
          <w:rFonts w:hint="eastAsia" w:ascii="仿宋_GB2312" w:hAnsi="仿宋_GB2312" w:eastAsia="仿宋_GB2312" w:cs="仿宋_GB2312"/>
          <w:sz w:val="32"/>
          <w:szCs w:val="32"/>
        </w:rPr>
        <w:t>万元、福利费1</w:t>
      </w:r>
      <w:r>
        <w:rPr>
          <w:rFonts w:hint="eastAsia" w:ascii="仿宋_GB2312" w:hAnsi="仿宋_GB2312" w:eastAsia="仿宋_GB2312" w:cs="仿宋_GB2312"/>
          <w:sz w:val="32"/>
          <w:szCs w:val="32"/>
          <w:lang w:val="en-US" w:eastAsia="zh-CN"/>
        </w:rPr>
        <w:t>1.68</w:t>
      </w:r>
      <w:r>
        <w:rPr>
          <w:rFonts w:hint="eastAsia" w:ascii="仿宋_GB2312" w:hAnsi="仿宋_GB2312" w:eastAsia="仿宋_GB2312" w:cs="仿宋_GB2312"/>
          <w:sz w:val="32"/>
          <w:szCs w:val="32"/>
        </w:rPr>
        <w:t>万元、党组织活动经费</w:t>
      </w:r>
      <w:r>
        <w:rPr>
          <w:rFonts w:hint="eastAsia" w:ascii="仿宋_GB2312" w:hAnsi="仿宋_GB2312" w:eastAsia="仿宋_GB2312" w:cs="仿宋_GB2312"/>
          <w:sz w:val="32"/>
          <w:szCs w:val="32"/>
          <w:lang w:val="en-US" w:eastAsia="zh-CN"/>
        </w:rPr>
        <w:t>2.03</w:t>
      </w:r>
      <w:r>
        <w:rPr>
          <w:rFonts w:hint="eastAsia" w:ascii="仿宋_GB2312" w:hAnsi="仿宋_GB2312" w:eastAsia="仿宋_GB2312" w:cs="仿宋_GB2312"/>
          <w:sz w:val="32"/>
          <w:szCs w:val="32"/>
        </w:rPr>
        <w:t>万元。</w:t>
      </w:r>
    </w:p>
    <w:p>
      <w:pPr>
        <w:autoSpaceDE w:val="0"/>
        <w:autoSpaceDN w:val="0"/>
        <w:adjustRightIn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2021年度机关运行经费共计安排20</w:t>
      </w:r>
      <w:r>
        <w:rPr>
          <w:rFonts w:hint="eastAsia" w:ascii="仿宋_GB2312" w:hAnsi="仿宋_GB2312" w:eastAsia="仿宋_GB2312" w:cs="仿宋_GB2312"/>
          <w:sz w:val="32"/>
          <w:szCs w:val="32"/>
          <w:lang w:val="en-US" w:eastAsia="zh-CN"/>
        </w:rPr>
        <w:t>8.94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办公费8.61万元、移动通讯补贴</w:t>
      </w:r>
      <w:r>
        <w:rPr>
          <w:rFonts w:hint="eastAsia" w:ascii="仿宋_GB2312" w:hAnsi="仿宋_GB2312" w:eastAsia="仿宋_GB2312" w:cs="仿宋_GB2312"/>
          <w:sz w:val="32"/>
          <w:szCs w:val="32"/>
          <w:lang w:val="en-US" w:eastAsia="zh-CN"/>
        </w:rPr>
        <w:t>42.84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邮电费8万元、差旅费24万元、公务用车运行维护费6.3万元、离</w:t>
      </w:r>
      <w:r>
        <w:rPr>
          <w:rFonts w:hint="eastAsia" w:ascii="仿宋_GB2312" w:hAnsi="仿宋_GB2312" w:eastAsia="仿宋_GB2312" w:cs="仿宋_GB2312"/>
          <w:sz w:val="32"/>
          <w:szCs w:val="32"/>
          <w:lang w:eastAsia="zh-CN"/>
        </w:rPr>
        <w:t>退休干部公用经费、特需费、退休住宅公用电话费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福利费共计</w:t>
      </w:r>
      <w:r>
        <w:rPr>
          <w:rFonts w:hint="eastAsia" w:ascii="仿宋_GB2312" w:hAnsi="仿宋_GB2312" w:eastAsia="仿宋_GB2312" w:cs="仿宋_GB2312"/>
          <w:sz w:val="32"/>
          <w:szCs w:val="32"/>
          <w:lang w:val="en-US" w:eastAsia="zh-CN"/>
        </w:rPr>
        <w:t>15.86万元、</w:t>
      </w:r>
      <w:r>
        <w:rPr>
          <w:rFonts w:hint="eastAsia" w:ascii="仿宋_GB2312" w:hAnsi="仿宋_GB2312" w:eastAsia="仿宋_GB2312" w:cs="仿宋_GB2312"/>
          <w:sz w:val="32"/>
          <w:szCs w:val="32"/>
        </w:rPr>
        <w:t>公务交通补贴81.48万元、</w:t>
      </w:r>
      <w:r>
        <w:rPr>
          <w:rFonts w:hint="eastAsia" w:ascii="仿宋_GB2312" w:hAnsi="仿宋_GB2312" w:eastAsia="仿宋_GB2312" w:cs="仿宋_GB2312"/>
          <w:sz w:val="32"/>
          <w:szCs w:val="32"/>
          <w:lang w:eastAsia="zh-CN"/>
        </w:rPr>
        <w:t>按比例计提的</w:t>
      </w:r>
      <w:r>
        <w:rPr>
          <w:rFonts w:hint="eastAsia" w:ascii="仿宋_GB2312" w:hAnsi="仿宋_GB2312" w:eastAsia="仿宋_GB2312" w:cs="仿宋_GB2312"/>
          <w:sz w:val="32"/>
          <w:szCs w:val="32"/>
        </w:rPr>
        <w:t>接待费1.2万元、工会经费8.35万元、福利费10.42万元、党组织活动经费1.88万元。</w:t>
      </w:r>
    </w:p>
    <w:p>
      <w:pPr>
        <w:autoSpaceDE w:val="0"/>
        <w:autoSpaceDN w:val="0"/>
        <w:adjustRightInd w:val="0"/>
        <w:ind w:firstLine="640" w:firstLineChars="200"/>
        <w:jc w:val="left"/>
        <w:rPr>
          <w:rFonts w:hint="default" w:ascii="黑体" w:hAnsi="黑体" w:eastAsia="黑体" w:cs="黑体"/>
          <w:color w:val="000000"/>
          <w:sz w:val="32"/>
          <w:lang w:val="en-US" w:eastAsia="zh-CN"/>
        </w:rPr>
      </w:pPr>
      <w:r>
        <w:rPr>
          <w:rFonts w:hint="eastAsia" w:ascii="仿宋_GB2312" w:hAnsi="仿宋_GB2312" w:eastAsia="仿宋_GB2312" w:cs="仿宋_GB2312"/>
          <w:sz w:val="32"/>
          <w:szCs w:val="32"/>
          <w:lang w:eastAsia="zh-CN"/>
        </w:rPr>
        <w:t>机关运行经费</w:t>
      </w:r>
      <w:r>
        <w:rPr>
          <w:rFonts w:hint="eastAsia" w:ascii="仿宋_GB2312" w:hAnsi="仿宋_GB2312" w:eastAsia="仿宋_GB2312" w:cs="仿宋_GB2312"/>
          <w:sz w:val="32"/>
          <w:szCs w:val="32"/>
          <w:lang w:val="en-US" w:eastAsia="zh-CN"/>
        </w:rPr>
        <w:t>2022年度比2021年度预算增加22.29万元，增加10%。主要原因是机关在职人员增加，人员定额公用经费相应增加。且因机关新调入、新增加人员不断增加，造成公务交通补贴和移动通讯补贴增加。在职人员工资总额的增长，导致计提的工会经费、福利费也相应增加。</w:t>
      </w:r>
    </w:p>
    <w:p>
      <w:pPr>
        <w:pStyle w:val="20"/>
      </w:pPr>
    </w:p>
    <w:p>
      <w:pPr>
        <w:numPr>
          <w:ilvl w:val="0"/>
          <w:numId w:val="3"/>
        </w:numPr>
        <w:spacing w:before="10" w:after="10" w:line="360" w:lineRule="auto"/>
        <w:ind w:left="0" w:leftChars="0" w:firstLine="640" w:firstLineChars="200"/>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autoSpaceDE w:val="0"/>
        <w:autoSpaceDN w:val="0"/>
        <w:adjustRightInd w:val="0"/>
        <w:ind w:left="198"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年财政拨款“三公”经费预算安排</w:t>
      </w:r>
      <w:r>
        <w:rPr>
          <w:rFonts w:hint="eastAsia" w:ascii="仿宋_GB2312" w:hAnsi="仿宋_GB2312" w:eastAsia="仿宋_GB2312" w:cs="仿宋_GB2312"/>
          <w:sz w:val="32"/>
          <w:szCs w:val="32"/>
          <w:lang w:val="en-US" w:eastAsia="zh-CN"/>
        </w:rPr>
        <w:t>16.5</w:t>
      </w:r>
      <w:r>
        <w:rPr>
          <w:rFonts w:hint="eastAsia" w:ascii="仿宋_GB2312" w:hAnsi="仿宋_GB2312" w:eastAsia="仿宋_GB2312" w:cs="仿宋_GB2312"/>
          <w:sz w:val="32"/>
          <w:szCs w:val="32"/>
        </w:rPr>
        <w:t>万元，其中：因公出国（境）费0万元，公务用车购置及运维费6.3万元（其中公务用车购置费为0元，公务用车运行费6.3万元），</w:t>
      </w:r>
      <w:r>
        <w:rPr>
          <w:rFonts w:hint="eastAsia" w:ascii="仿宋_GB2312" w:hAnsi="仿宋_GB2312" w:eastAsia="仿宋_GB2312" w:cs="仿宋_GB2312"/>
          <w:sz w:val="32"/>
          <w:szCs w:val="32"/>
          <w:lang w:eastAsia="zh-CN"/>
        </w:rPr>
        <w:t>全部为</w:t>
      </w:r>
      <w:r>
        <w:rPr>
          <w:rFonts w:hint="eastAsia" w:ascii="仿宋_GB2312" w:hAnsi="仿宋_GB2312" w:eastAsia="仿宋_GB2312" w:cs="仿宋_GB2312"/>
          <w:sz w:val="32"/>
          <w:szCs w:val="32"/>
        </w:rPr>
        <w:t>基本支出。公务接待费1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.2万元，其中包括基本支出1.2万元，项目支出</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万元。</w:t>
      </w:r>
    </w:p>
    <w:p>
      <w:pPr>
        <w:autoSpaceDE w:val="0"/>
        <w:autoSpaceDN w:val="0"/>
        <w:adjustRightInd w:val="0"/>
        <w:ind w:left="198"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2021年财政拨款“三公”经费预算安排27.5万元，其中：因公出国（境）费0万元，公务用车购置及运维费16.3万元（其中公务用车购置费为0元，公务用车运行费16.3万元），其中包括基本支出6.3万元，项目支出10万元。公务接待费11.2万元，其中包括基本支出1.2万元，项目支出10万元。</w:t>
      </w:r>
    </w:p>
    <w:p>
      <w:pPr>
        <w:autoSpaceDE w:val="0"/>
        <w:autoSpaceDN w:val="0"/>
        <w:adjustRightInd w:val="0"/>
        <w:ind w:left="198"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“三公”经费预算安排202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年比202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11万元，同比减少40%。其中：</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年因公出国（境）费与202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年无变化，均为0元。公务用车购买及运行维护费202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年比202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10万元，</w:t>
      </w:r>
      <w:r>
        <w:rPr>
          <w:rFonts w:hint="eastAsia" w:ascii="仿宋_GB2312" w:hAnsi="仿宋_GB2312" w:eastAsia="仿宋_GB2312" w:cs="仿宋_GB2312"/>
          <w:sz w:val="32"/>
          <w:szCs w:val="32"/>
          <w:lang w:eastAsia="zh-CN"/>
        </w:rPr>
        <w:t>同比下降</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%，原因是机关共有9台公务用车，其中大部分车辆均使用年限较长，造成车况老化，</w:t>
      </w:r>
      <w:r>
        <w:rPr>
          <w:rFonts w:hint="eastAsia" w:ascii="仿宋_GB2312" w:hAnsi="仿宋_GB2312" w:eastAsia="仿宋_GB2312" w:cs="仿宋_GB2312"/>
          <w:sz w:val="32"/>
          <w:szCs w:val="32"/>
          <w:lang w:eastAsia="zh-CN"/>
        </w:rPr>
        <w:t>安全性能减弱，预计减少安排机关公务用车派车数量及里程。</w:t>
      </w:r>
      <w:r>
        <w:rPr>
          <w:rFonts w:hint="eastAsia" w:ascii="仿宋_GB2312" w:hAnsi="仿宋_GB2312" w:eastAsia="仿宋_GB2312" w:cs="仿宋_GB2312"/>
          <w:sz w:val="32"/>
          <w:szCs w:val="32"/>
        </w:rPr>
        <w:t>故在项目经费中</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了10万元公务用车运行维护费用。公务接待费202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年比202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年减少了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万元，同比下降</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%，变化原因是</w:t>
      </w:r>
      <w:r>
        <w:rPr>
          <w:rFonts w:hint="eastAsia" w:ascii="仿宋_GB2312" w:hAnsi="仿宋_GB2312" w:eastAsia="仿宋_GB2312" w:cs="仿宋_GB2312"/>
          <w:sz w:val="32"/>
          <w:szCs w:val="32"/>
          <w:lang w:eastAsia="zh-CN"/>
        </w:rPr>
        <w:t>按照厉行节约的要求，项目经费中接待费安排减少</w:t>
      </w:r>
      <w:r>
        <w:rPr>
          <w:rFonts w:hint="eastAsia" w:ascii="仿宋_GB2312" w:hAnsi="仿宋_GB2312" w:eastAsia="仿宋_GB2312" w:cs="仿宋_GB2312"/>
          <w:sz w:val="32"/>
          <w:szCs w:val="32"/>
          <w:lang w:val="en-US" w:eastAsia="zh-CN"/>
        </w:rPr>
        <w:t>1万元</w:t>
      </w:r>
      <w:r>
        <w:rPr>
          <w:rFonts w:hint="eastAsia" w:ascii="仿宋_GB2312" w:hAnsi="仿宋_GB2312" w:eastAsia="仿宋_GB2312" w:cs="仿宋_GB2312"/>
          <w:sz w:val="32"/>
          <w:szCs w:val="32"/>
        </w:rPr>
        <w:t>。</w:t>
      </w:r>
    </w:p>
    <w:p>
      <w:pPr>
        <w:ind w:firstLine="800" w:firstLineChars="2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年比202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年培训费</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会议费</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19万元预算，增加了12%，</w:t>
      </w:r>
      <w:r>
        <w:rPr>
          <w:rFonts w:hint="eastAsia" w:ascii="仿宋_GB2312" w:hAnsi="仿宋_GB2312" w:eastAsia="仿宋_GB2312" w:cs="仿宋_GB2312"/>
          <w:sz w:val="32"/>
          <w:szCs w:val="32"/>
        </w:rPr>
        <w:t>均在项目经费中进行列支。</w:t>
      </w:r>
      <w:r>
        <w:rPr>
          <w:rFonts w:hint="eastAsia" w:ascii="仿宋_GB2312" w:hAnsi="仿宋_GB2312" w:eastAsia="仿宋_GB2312" w:cs="仿宋_GB2312"/>
          <w:sz w:val="32"/>
          <w:szCs w:val="32"/>
          <w:lang w:eastAsia="zh-CN"/>
        </w:rPr>
        <w:t>会议费增加的主要原因是受疫情发展变化的影响，</w:t>
      </w:r>
      <w:r>
        <w:rPr>
          <w:rFonts w:hint="eastAsia" w:ascii="仿宋_GB2312" w:hAnsi="仿宋_GB2312" w:eastAsia="仿宋_GB2312" w:cs="仿宋_GB2312"/>
          <w:sz w:val="32"/>
          <w:szCs w:val="32"/>
          <w:lang w:val="en-US" w:eastAsia="zh-CN"/>
        </w:rPr>
        <w:t>因疫情防控需要，在超50人的会议召开前、中期都会组织与会代表、工作人员进行大规模核酸检测三次，并且根据疫情防控组的工作需要，需采购必要的防疫物资，因此会议费预算较上一年有所增加。</w:t>
      </w:r>
    </w:p>
    <w:p>
      <w:pPr>
        <w:pStyle w:val="21"/>
        <w:ind w:left="0" w:leftChars="0" w:firstLine="0" w:firstLineChars="0"/>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（一）总体绩效目标</w:t>
      </w:r>
    </w:p>
    <w:p>
      <w:pPr>
        <w:spacing w:line="500" w:lineRule="exact"/>
        <w:ind w:firstLine="56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Cs/>
          <w:color w:val="auto"/>
          <w:sz w:val="32"/>
          <w:szCs w:val="32"/>
          <w:u w:val="none"/>
        </w:rPr>
        <w:t>2022年是党的二十大召开之年，是</w:t>
      </w:r>
      <w:r>
        <w:rPr>
          <w:rFonts w:hint="eastAsia" w:ascii="仿宋_GB2312" w:hAnsi="仿宋_GB2312" w:eastAsia="仿宋_GB2312" w:cs="仿宋_GB2312"/>
          <w:bCs/>
          <w:color w:val="auto"/>
          <w:sz w:val="32"/>
          <w:szCs w:val="32"/>
          <w:u w:val="none"/>
          <w:lang w:eastAsia="zh-CN"/>
        </w:rPr>
        <w:t>实施</w:t>
      </w:r>
      <w:r>
        <w:rPr>
          <w:rFonts w:hint="eastAsia" w:ascii="仿宋_GB2312" w:hAnsi="仿宋_GB2312" w:eastAsia="仿宋_GB2312" w:cs="仿宋_GB2312"/>
          <w:bCs/>
          <w:color w:val="auto"/>
          <w:sz w:val="32"/>
          <w:szCs w:val="32"/>
          <w:u w:val="none"/>
        </w:rPr>
        <w:t>“十四五”规划的关键之年。常委会工作的总体要求是：坚持以习近平新时代中国特色社会主义思想为指导，认真贯彻落实党的十九大</w:t>
      </w:r>
      <w:r>
        <w:rPr>
          <w:rFonts w:hint="eastAsia" w:ascii="仿宋_GB2312" w:hAnsi="仿宋_GB2312" w:eastAsia="仿宋_GB2312" w:cs="仿宋_GB2312"/>
          <w:bCs/>
          <w:color w:val="auto"/>
          <w:sz w:val="32"/>
          <w:szCs w:val="32"/>
          <w:u w:val="none"/>
          <w:lang w:eastAsia="zh-CN"/>
        </w:rPr>
        <w:t>和</w:t>
      </w:r>
      <w:r>
        <w:rPr>
          <w:rFonts w:hint="eastAsia" w:ascii="仿宋_GB2312" w:hAnsi="仿宋_GB2312" w:eastAsia="仿宋_GB2312" w:cs="仿宋_GB2312"/>
          <w:bCs/>
          <w:color w:val="auto"/>
          <w:sz w:val="32"/>
          <w:szCs w:val="32"/>
          <w:u w:val="none"/>
        </w:rPr>
        <w:t>十九届历次全会精神，深入贯彻落实习近平总书记关于坚持和完善人民代表大会制度重要思想和中央、省委</w:t>
      </w:r>
      <w:r>
        <w:rPr>
          <w:rFonts w:hint="eastAsia" w:ascii="仿宋_GB2312" w:hAnsi="仿宋_GB2312" w:eastAsia="仿宋_GB2312" w:cs="仿宋_GB2312"/>
          <w:bCs/>
          <w:color w:val="auto"/>
          <w:sz w:val="32"/>
          <w:szCs w:val="32"/>
          <w:u w:val="none"/>
          <w:lang w:eastAsia="zh-CN"/>
        </w:rPr>
        <w:t>、市委</w:t>
      </w:r>
      <w:r>
        <w:rPr>
          <w:rFonts w:hint="eastAsia" w:ascii="仿宋_GB2312" w:hAnsi="仿宋_GB2312" w:eastAsia="仿宋_GB2312" w:cs="仿宋_GB2312"/>
          <w:bCs/>
          <w:color w:val="auto"/>
          <w:sz w:val="32"/>
          <w:szCs w:val="32"/>
          <w:u w:val="none"/>
        </w:rPr>
        <w:t>人大工作会议精神，全面贯彻落实习近平总书记视察承德重要讲话指示和省、市党代会精神，坚持党的领导、人民当家作主、依法治国有机统一，</w:t>
      </w:r>
      <w:r>
        <w:rPr>
          <w:rFonts w:hint="eastAsia" w:ascii="仿宋_GB2312" w:hAnsi="仿宋_GB2312" w:eastAsia="仿宋_GB2312" w:cs="仿宋_GB2312"/>
          <w:color w:val="auto"/>
          <w:sz w:val="32"/>
          <w:szCs w:val="32"/>
          <w:u w:val="none"/>
        </w:rPr>
        <w:t>紧紧围绕“三区两城”发展定位和“八个聚焦聚力”重点任务，忠实履行宪法法律赋予的各项职责，充分发挥人大制度优势和人大代表作用，大力发展全过程人民民主，奋力开创人大工作新局面，</w:t>
      </w:r>
      <w:r>
        <w:rPr>
          <w:rFonts w:hint="eastAsia" w:ascii="仿宋_GB2312" w:hAnsi="仿宋_GB2312" w:eastAsia="仿宋_GB2312" w:cs="仿宋_GB2312"/>
          <w:color w:val="auto"/>
          <w:sz w:val="32"/>
          <w:szCs w:val="32"/>
          <w:u w:val="none"/>
          <w:lang w:eastAsia="zh-CN"/>
        </w:rPr>
        <w:t>努力为推进“四个再建功立业”、实现“二次创业”、</w:t>
      </w:r>
      <w:r>
        <w:rPr>
          <w:rFonts w:hint="eastAsia" w:ascii="仿宋_GB2312" w:hAnsi="仿宋_GB2312" w:eastAsia="仿宋_GB2312" w:cs="仿宋_GB2312"/>
          <w:color w:val="auto"/>
          <w:sz w:val="32"/>
          <w:szCs w:val="32"/>
          <w:u w:val="none"/>
        </w:rPr>
        <w:t>加快建设</w:t>
      </w:r>
      <w:r>
        <w:rPr>
          <w:rFonts w:hint="eastAsia" w:ascii="仿宋_GB2312" w:hAnsi="仿宋_GB2312" w:eastAsia="仿宋_GB2312" w:cs="仿宋_GB2312"/>
          <w:bCs/>
          <w:color w:val="auto"/>
          <w:sz w:val="32"/>
          <w:szCs w:val="32"/>
          <w:u w:val="none"/>
        </w:rPr>
        <w:t>高质量发展的</w:t>
      </w:r>
      <w:r>
        <w:rPr>
          <w:rFonts w:hint="eastAsia" w:ascii="仿宋_GB2312" w:hAnsi="仿宋_GB2312" w:eastAsia="仿宋_GB2312" w:cs="仿宋_GB2312"/>
          <w:color w:val="auto"/>
          <w:sz w:val="32"/>
          <w:szCs w:val="32"/>
          <w:u w:val="none"/>
        </w:rPr>
        <w:t>“生态强市、魅力承德”</w:t>
      </w:r>
      <w:r>
        <w:rPr>
          <w:rFonts w:hint="eastAsia" w:ascii="仿宋_GB2312" w:hAnsi="仿宋_GB2312" w:eastAsia="仿宋_GB2312" w:cs="仿宋_GB2312"/>
          <w:color w:val="auto"/>
          <w:sz w:val="32"/>
          <w:szCs w:val="32"/>
          <w:u w:val="none"/>
          <w:lang w:eastAsia="zh-CN"/>
        </w:rPr>
        <w:t>贡献人大智慧和</w:t>
      </w:r>
      <w:r>
        <w:rPr>
          <w:rFonts w:hint="eastAsia" w:ascii="仿宋_GB2312" w:hAnsi="仿宋_GB2312" w:eastAsia="仿宋_GB2312" w:cs="仿宋_GB2312"/>
          <w:color w:val="auto"/>
          <w:sz w:val="32"/>
          <w:szCs w:val="32"/>
          <w:u w:val="none"/>
        </w:rPr>
        <w:t>力量</w:t>
      </w:r>
      <w:r>
        <w:rPr>
          <w:rFonts w:hint="eastAsia" w:ascii="仿宋_GB2312" w:hAnsi="仿宋_GB2312" w:eastAsia="仿宋_GB2312" w:cs="仿宋_GB2312"/>
          <w:color w:val="auto"/>
          <w:sz w:val="32"/>
          <w:szCs w:val="32"/>
          <w:u w:val="none"/>
          <w:lang w:eastAsia="zh-CN"/>
        </w:rPr>
        <w:t>，以优异成绩迎接党的二十大胜利召开</w:t>
      </w:r>
      <w:r>
        <w:rPr>
          <w:rFonts w:hint="eastAsia" w:ascii="仿宋_GB2312" w:hAnsi="仿宋_GB2312" w:eastAsia="仿宋_GB2312" w:cs="仿宋_GB2312"/>
          <w:color w:val="auto"/>
          <w:sz w:val="32"/>
          <w:szCs w:val="32"/>
          <w:u w:val="none"/>
        </w:rPr>
        <w:t>。</w:t>
      </w:r>
    </w:p>
    <w:p>
      <w:pPr>
        <w:spacing w:line="500" w:lineRule="exact"/>
        <w:ind w:firstLine="560"/>
        <w:rPr>
          <w:rFonts w:hint="eastAsia" w:ascii="仿宋_GB2312" w:hAnsi="仿宋_GB2312" w:eastAsia="仿宋_GB2312" w:cs="仿宋_GB2312"/>
          <w:color w:val="auto"/>
          <w:sz w:val="32"/>
          <w:szCs w:val="32"/>
          <w:u w:val="none"/>
        </w:rPr>
      </w:pP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（二）分项绩效目标</w:t>
      </w:r>
    </w:p>
    <w:p>
      <w:pPr>
        <w:pStyle w:val="23"/>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立法工作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Cs/>
          <w:color w:val="auto"/>
          <w:sz w:val="32"/>
          <w:szCs w:val="32"/>
          <w:u w:val="none"/>
          <w:shd w:val="clear" w:color="auto" w:fill="FFFFFF"/>
        </w:rPr>
      </w:pPr>
      <w:r>
        <w:rPr>
          <w:rFonts w:hint="eastAsia" w:ascii="仿宋_GB2312" w:hAnsi="仿宋_GB2312" w:eastAsia="仿宋_GB2312" w:cs="仿宋_GB2312"/>
          <w:b/>
          <w:color w:val="auto"/>
          <w:sz w:val="32"/>
          <w:szCs w:val="32"/>
          <w:u w:val="none"/>
        </w:rPr>
        <w:t>发挥立法主导作用</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bCs/>
          <w:color w:val="auto"/>
          <w:sz w:val="32"/>
          <w:szCs w:val="32"/>
          <w:u w:val="none"/>
          <w:shd w:val="clear" w:color="auto" w:fill="FFFFFF"/>
          <w:lang w:eastAsia="zh-CN"/>
        </w:rPr>
        <w:t>按照</w:t>
      </w:r>
      <w:r>
        <w:rPr>
          <w:rFonts w:hint="eastAsia" w:ascii="仿宋_GB2312" w:hAnsi="仿宋_GB2312" w:eastAsia="仿宋_GB2312" w:cs="仿宋_GB2312"/>
          <w:bCs/>
          <w:color w:val="auto"/>
          <w:sz w:val="32"/>
          <w:szCs w:val="32"/>
          <w:u w:val="none"/>
          <w:shd w:val="clear" w:color="auto" w:fill="FFFFFF"/>
        </w:rPr>
        <w:t>“服务大局、提质增效、扎实稳妥、务实管用”的</w:t>
      </w:r>
      <w:r>
        <w:rPr>
          <w:rFonts w:hint="eastAsia" w:ascii="仿宋_GB2312" w:hAnsi="仿宋_GB2312" w:eastAsia="仿宋_GB2312" w:cs="仿宋_GB2312"/>
          <w:bCs/>
          <w:color w:val="auto"/>
          <w:sz w:val="32"/>
          <w:szCs w:val="32"/>
          <w:u w:val="none"/>
          <w:shd w:val="clear" w:color="auto" w:fill="FFFFFF"/>
          <w:lang w:eastAsia="zh-CN"/>
        </w:rPr>
        <w:t>立法</w:t>
      </w:r>
      <w:r>
        <w:rPr>
          <w:rFonts w:hint="eastAsia" w:ascii="仿宋_GB2312" w:hAnsi="仿宋_GB2312" w:eastAsia="仿宋_GB2312" w:cs="仿宋_GB2312"/>
          <w:bCs/>
          <w:color w:val="auto"/>
          <w:sz w:val="32"/>
          <w:szCs w:val="32"/>
          <w:u w:val="none"/>
          <w:shd w:val="clear" w:color="auto" w:fill="FFFFFF"/>
        </w:rPr>
        <w:t>工作</w:t>
      </w:r>
      <w:r>
        <w:rPr>
          <w:rFonts w:hint="eastAsia" w:ascii="仿宋_GB2312" w:hAnsi="仿宋_GB2312" w:eastAsia="仿宋_GB2312" w:cs="仿宋_GB2312"/>
          <w:bCs/>
          <w:color w:val="auto"/>
          <w:sz w:val="32"/>
          <w:szCs w:val="32"/>
          <w:u w:val="none"/>
          <w:shd w:val="clear" w:color="auto" w:fill="FFFFFF"/>
          <w:lang w:eastAsia="zh-CN"/>
        </w:rPr>
        <w:t>思路</w:t>
      </w:r>
      <w:r>
        <w:rPr>
          <w:rFonts w:hint="eastAsia" w:ascii="仿宋_GB2312" w:hAnsi="仿宋_GB2312" w:eastAsia="仿宋_GB2312" w:cs="仿宋_GB2312"/>
          <w:bCs/>
          <w:color w:val="auto"/>
          <w:sz w:val="32"/>
          <w:szCs w:val="32"/>
          <w:u w:val="none"/>
          <w:shd w:val="clear" w:color="auto" w:fill="FFFFFF"/>
        </w:rPr>
        <w:t>，</w:t>
      </w:r>
      <w:r>
        <w:rPr>
          <w:rFonts w:hint="eastAsia" w:ascii="仿宋_GB2312" w:hAnsi="仿宋_GB2312" w:eastAsia="仿宋_GB2312" w:cs="仿宋_GB2312"/>
          <w:bCs/>
          <w:color w:val="auto"/>
          <w:sz w:val="32"/>
          <w:szCs w:val="32"/>
          <w:u w:val="none"/>
          <w:shd w:val="clear" w:color="auto" w:fill="FFFFFF"/>
          <w:lang w:eastAsia="zh-CN"/>
        </w:rPr>
        <w:t>完善“党委领导、人大主导、政府依托、各方参与”的立法工作格局</w:t>
      </w:r>
      <w:r>
        <w:rPr>
          <w:rFonts w:hint="eastAsia" w:ascii="仿宋_GB2312" w:hAnsi="仿宋_GB2312" w:eastAsia="仿宋_GB2312" w:cs="仿宋_GB2312"/>
          <w:bCs/>
          <w:color w:val="auto"/>
          <w:sz w:val="32"/>
          <w:szCs w:val="32"/>
          <w:u w:val="none"/>
        </w:rPr>
        <w:t>，深入推进科学立法、民主立法、依法立法，</w:t>
      </w:r>
      <w:r>
        <w:rPr>
          <w:rFonts w:hint="eastAsia" w:ascii="仿宋_GB2312" w:hAnsi="仿宋_GB2312" w:eastAsia="仿宋_GB2312" w:cs="仿宋_GB2312"/>
          <w:bCs/>
          <w:color w:val="auto"/>
          <w:sz w:val="32"/>
          <w:szCs w:val="32"/>
          <w:u w:val="none"/>
          <w:shd w:val="clear" w:color="auto" w:fill="FFFFFF"/>
        </w:rPr>
        <w:t>在确保质量的前提下加快立法工作步伐</w:t>
      </w:r>
      <w:r>
        <w:rPr>
          <w:rFonts w:hint="eastAsia" w:ascii="仿宋_GB2312" w:hAnsi="仿宋_GB2312" w:eastAsia="仿宋_GB2312" w:cs="仿宋_GB2312"/>
          <w:bCs/>
          <w:color w:val="auto"/>
          <w:sz w:val="32"/>
          <w:szCs w:val="32"/>
          <w:u w:val="none"/>
        </w:rPr>
        <w:t>。健全完善立法选题、评估、论证、立项、起草、协商、审议等工作机制，</w:t>
      </w:r>
      <w:r>
        <w:rPr>
          <w:rFonts w:hint="eastAsia" w:ascii="仿宋_GB2312" w:hAnsi="仿宋_GB2312" w:eastAsia="仿宋_GB2312" w:cs="仿宋_GB2312"/>
          <w:bCs/>
          <w:color w:val="auto"/>
          <w:sz w:val="32"/>
          <w:szCs w:val="32"/>
          <w:u w:val="none"/>
          <w:lang w:eastAsia="zh-CN"/>
        </w:rPr>
        <w:t>正确处理各方利益，着力提升立法质效。</w:t>
      </w:r>
      <w:r>
        <w:rPr>
          <w:rFonts w:hint="eastAsia" w:ascii="仿宋_GB2312" w:hAnsi="仿宋_GB2312" w:eastAsia="仿宋_GB2312" w:cs="仿宋_GB2312"/>
          <w:bCs/>
          <w:color w:val="auto"/>
          <w:sz w:val="32"/>
          <w:szCs w:val="32"/>
          <w:u w:val="none"/>
        </w:rPr>
        <w:t>探索建立立法信息联络站、立法信息采集点“两个基层阵地”和立法联系协作、立法联系顾问、立法专家咨询“三个支持团队”，</w:t>
      </w:r>
      <w:r>
        <w:rPr>
          <w:rFonts w:hint="eastAsia" w:ascii="仿宋_GB2312" w:hAnsi="仿宋_GB2312" w:eastAsia="仿宋_GB2312" w:cs="仿宋_GB2312"/>
          <w:bCs/>
          <w:color w:val="auto"/>
          <w:sz w:val="32"/>
          <w:szCs w:val="32"/>
          <w:u w:val="none"/>
          <w:lang w:eastAsia="zh-CN"/>
        </w:rPr>
        <w:t>畅通基层群众和社会组织参与立法互动的渠道，确保立法符合宪法精神、反映人民意愿、得到人民拥护</w:t>
      </w:r>
      <w:r>
        <w:rPr>
          <w:rFonts w:hint="eastAsia" w:ascii="仿宋_GB2312" w:hAnsi="仿宋_GB2312" w:eastAsia="仿宋_GB2312" w:cs="仿宋_GB2312"/>
          <w:bCs/>
          <w:color w:val="auto"/>
          <w:sz w:val="32"/>
          <w:szCs w:val="32"/>
          <w:u w:val="none"/>
        </w:rPr>
        <w:t>。</w:t>
      </w:r>
      <w:r>
        <w:rPr>
          <w:rFonts w:hint="eastAsia" w:ascii="仿宋_GB2312" w:hAnsi="仿宋_GB2312" w:eastAsia="仿宋_GB2312" w:cs="仿宋_GB2312"/>
          <w:b/>
          <w:color w:val="auto"/>
          <w:sz w:val="32"/>
          <w:szCs w:val="32"/>
          <w:u w:val="none"/>
          <w:shd w:val="clear" w:color="auto" w:fill="FFFFFF"/>
        </w:rPr>
        <w:t>推进高质量立法</w:t>
      </w:r>
      <w:r>
        <w:rPr>
          <w:rFonts w:hint="eastAsia" w:ascii="仿宋_GB2312" w:hAnsi="仿宋_GB2312" w:eastAsia="仿宋_GB2312" w:cs="仿宋_GB2312"/>
          <w:bCs/>
          <w:color w:val="auto"/>
          <w:sz w:val="32"/>
          <w:szCs w:val="32"/>
          <w:u w:val="none"/>
          <w:shd w:val="clear" w:color="auto" w:fill="FFFFFF"/>
        </w:rPr>
        <w:t>。</w:t>
      </w:r>
      <w:r>
        <w:rPr>
          <w:rFonts w:hint="eastAsia" w:ascii="仿宋_GB2312" w:hAnsi="仿宋_GB2312" w:eastAsia="仿宋_GB2312" w:cs="仿宋_GB2312"/>
          <w:bCs/>
          <w:color w:val="auto"/>
          <w:sz w:val="32"/>
          <w:szCs w:val="32"/>
          <w:u w:val="none"/>
          <w:shd w:val="clear" w:color="auto" w:fill="FFFFFF"/>
          <w:lang w:eastAsia="zh-CN"/>
        </w:rPr>
        <w:t>按照省人大常委会的安排部署，扎实开展“落实指导意见，提升立法特色”年活动，坚持质量优先、质效并举，着力提高立法质量促发展、提升立法效率促善治，深入</w:t>
      </w:r>
      <w:r>
        <w:rPr>
          <w:rFonts w:hint="eastAsia" w:ascii="仿宋_GB2312" w:hAnsi="仿宋_GB2312" w:eastAsia="仿宋_GB2312" w:cs="仿宋_GB2312"/>
          <w:bCs/>
          <w:color w:val="auto"/>
          <w:sz w:val="32"/>
          <w:szCs w:val="32"/>
          <w:u w:val="none"/>
          <w:shd w:val="clear" w:color="auto" w:fill="FFFFFF"/>
        </w:rPr>
        <w:t>推进重点领域、新兴领域立法，加强创制性立法，增强立法的针对性、适用性、可操作性。</w:t>
      </w:r>
      <w:r>
        <w:rPr>
          <w:rFonts w:hint="eastAsia" w:ascii="仿宋_GB2312" w:hAnsi="仿宋_GB2312" w:eastAsia="仿宋_GB2312" w:cs="仿宋_GB2312"/>
          <w:bCs/>
          <w:color w:val="auto"/>
          <w:sz w:val="32"/>
          <w:szCs w:val="32"/>
          <w:u w:val="none"/>
          <w:shd w:val="clear" w:color="auto" w:fill="FFFFFF"/>
          <w:lang w:eastAsia="zh-CN"/>
        </w:rPr>
        <w:t>制定出台禁止野外用火决定，</w:t>
      </w:r>
      <w:r>
        <w:rPr>
          <w:rFonts w:hint="eastAsia" w:ascii="仿宋_GB2312" w:hAnsi="仿宋_GB2312" w:eastAsia="仿宋_GB2312" w:cs="仿宋_GB2312"/>
          <w:bCs/>
          <w:color w:val="auto"/>
          <w:sz w:val="32"/>
          <w:szCs w:val="32"/>
          <w:u w:val="none"/>
          <w:shd w:val="clear" w:color="auto" w:fill="FFFFFF"/>
        </w:rPr>
        <w:t>年内继续审议城镇住宅物业管理条例、旅游市场管理条例、机动车停车场条例，对钒钛资源保护与利用、历史文化名城保护</w:t>
      </w:r>
      <w:r>
        <w:rPr>
          <w:rFonts w:hint="eastAsia" w:ascii="仿宋_GB2312" w:hAnsi="仿宋_GB2312" w:eastAsia="仿宋_GB2312" w:cs="仿宋_GB2312"/>
          <w:bCs/>
          <w:color w:val="auto"/>
          <w:sz w:val="32"/>
          <w:szCs w:val="32"/>
          <w:u w:val="none"/>
          <w:shd w:val="clear" w:color="auto" w:fill="FFFFFF"/>
          <w:lang w:eastAsia="zh-CN"/>
        </w:rPr>
        <w:t>法规草案进行</w:t>
      </w:r>
      <w:r>
        <w:rPr>
          <w:rFonts w:hint="eastAsia" w:ascii="仿宋_GB2312" w:hAnsi="仿宋_GB2312" w:eastAsia="仿宋_GB2312" w:cs="仿宋_GB2312"/>
          <w:bCs/>
          <w:color w:val="auto"/>
          <w:sz w:val="32"/>
          <w:szCs w:val="32"/>
          <w:u w:val="none"/>
          <w:shd w:val="clear" w:color="auto" w:fill="FFFFFF"/>
        </w:rPr>
        <w:t>初审，围绕居家养老服务、学前教育安全管理、地方荣誉称号管理等立法项目开展调研，围绕山体保护利用、乡村旅游、节约用水等工作开展立法论证，着力打造一批有特色</w:t>
      </w:r>
      <w:r>
        <w:rPr>
          <w:rFonts w:hint="eastAsia" w:ascii="仿宋_GB2312" w:hAnsi="仿宋_GB2312" w:eastAsia="仿宋_GB2312" w:cs="仿宋_GB2312"/>
          <w:bCs/>
          <w:color w:val="auto"/>
          <w:sz w:val="32"/>
          <w:szCs w:val="32"/>
          <w:u w:val="none"/>
          <w:shd w:val="clear" w:color="auto" w:fill="FFFFFF"/>
          <w:lang w:eastAsia="zh-CN"/>
        </w:rPr>
        <w:t>、能落地、真管用</w:t>
      </w:r>
      <w:r>
        <w:rPr>
          <w:rFonts w:hint="eastAsia" w:ascii="仿宋_GB2312" w:hAnsi="仿宋_GB2312" w:eastAsia="仿宋_GB2312" w:cs="仿宋_GB2312"/>
          <w:bCs/>
          <w:color w:val="auto"/>
          <w:sz w:val="32"/>
          <w:szCs w:val="32"/>
          <w:u w:val="none"/>
          <w:shd w:val="clear" w:color="auto" w:fill="FFFFFF"/>
        </w:rPr>
        <w:t>的地方性法规，为推进地方治理现代化提供法治保障</w:t>
      </w:r>
      <w:bookmarkStart w:id="14" w:name="_Hlk93738034"/>
      <w:r>
        <w:rPr>
          <w:rFonts w:hint="eastAsia" w:ascii="仿宋_GB2312" w:hAnsi="仿宋_GB2312" w:eastAsia="仿宋_GB2312" w:cs="仿宋_GB2312"/>
          <w:bCs/>
          <w:color w:val="auto"/>
          <w:sz w:val="32"/>
          <w:szCs w:val="32"/>
          <w:u w:val="none"/>
          <w:shd w:val="clear" w:color="auto" w:fill="FFFFFF"/>
          <w:lang w:eastAsia="zh-CN"/>
        </w:rPr>
        <w:t>。</w:t>
      </w:r>
      <w:r>
        <w:rPr>
          <w:rFonts w:hint="eastAsia" w:ascii="仿宋_GB2312" w:hAnsi="仿宋_GB2312" w:eastAsia="仿宋_GB2312" w:cs="仿宋_GB2312"/>
          <w:b/>
          <w:color w:val="auto"/>
          <w:sz w:val="32"/>
          <w:szCs w:val="32"/>
          <w:u w:val="none"/>
          <w:shd w:val="clear" w:color="auto" w:fill="FFFFFF"/>
        </w:rPr>
        <w:t>维护国家法制统一</w:t>
      </w:r>
      <w:r>
        <w:rPr>
          <w:rFonts w:hint="eastAsia" w:ascii="仿宋_GB2312" w:hAnsi="仿宋_GB2312" w:eastAsia="仿宋_GB2312" w:cs="仿宋_GB2312"/>
          <w:bCs/>
          <w:color w:val="auto"/>
          <w:sz w:val="32"/>
          <w:szCs w:val="32"/>
          <w:u w:val="none"/>
          <w:shd w:val="clear" w:color="auto" w:fill="FFFFFF"/>
        </w:rPr>
        <w:t>。</w:t>
      </w:r>
      <w:r>
        <w:rPr>
          <w:rFonts w:hint="eastAsia" w:ascii="仿宋_GB2312" w:hAnsi="仿宋_GB2312" w:eastAsia="仿宋_GB2312" w:cs="仿宋_GB2312"/>
          <w:bCs/>
          <w:color w:val="auto"/>
          <w:sz w:val="32"/>
          <w:szCs w:val="32"/>
          <w:u w:val="none"/>
          <w:shd w:val="clear" w:color="auto" w:fill="FFFFFF"/>
          <w:lang w:eastAsia="zh-CN"/>
        </w:rPr>
        <w:t>认真履行宪法监督职责，</w:t>
      </w:r>
      <w:r>
        <w:rPr>
          <w:rFonts w:hint="eastAsia" w:ascii="仿宋_GB2312" w:hAnsi="仿宋_GB2312" w:eastAsia="仿宋_GB2312" w:cs="仿宋_GB2312"/>
          <w:bCs/>
          <w:color w:val="auto"/>
          <w:sz w:val="32"/>
          <w:szCs w:val="32"/>
          <w:u w:val="none"/>
          <w:shd w:val="clear" w:color="auto" w:fill="FFFFFF"/>
        </w:rPr>
        <w:t>坚持宪法确立的一系列制度、原则、规则，用科学有效、系统完备的制度体系保证宪法实施。加强普法监督，推动落实“谁执法谁普法”责任制</w:t>
      </w:r>
      <w:r>
        <w:rPr>
          <w:rFonts w:hint="eastAsia" w:ascii="仿宋_GB2312" w:hAnsi="仿宋_GB2312" w:eastAsia="仿宋_GB2312" w:cs="仿宋_GB2312"/>
          <w:bCs/>
          <w:color w:val="auto"/>
          <w:sz w:val="32"/>
          <w:szCs w:val="32"/>
          <w:u w:val="none"/>
          <w:shd w:val="clear" w:color="auto" w:fill="FFFFFF"/>
          <w:lang w:eastAsia="zh-CN"/>
        </w:rPr>
        <w:t>，</w:t>
      </w:r>
      <w:r>
        <w:rPr>
          <w:rFonts w:hint="eastAsia" w:ascii="仿宋_GB2312" w:hAnsi="仿宋_GB2312" w:eastAsia="仿宋_GB2312" w:cs="仿宋_GB2312"/>
          <w:bCs/>
          <w:color w:val="auto"/>
          <w:sz w:val="32"/>
          <w:szCs w:val="32"/>
          <w:u w:val="none"/>
          <w:shd w:val="clear" w:color="auto" w:fill="FFFFFF"/>
        </w:rPr>
        <w:t>组织实施好“五年普法规划”和“国家宪法日”活动，</w:t>
      </w:r>
      <w:r>
        <w:rPr>
          <w:rFonts w:hint="eastAsia" w:ascii="仿宋_GB2312" w:hAnsi="仿宋_GB2312" w:eastAsia="仿宋_GB2312" w:cs="仿宋_GB2312"/>
          <w:bCs/>
          <w:color w:val="auto"/>
          <w:sz w:val="32"/>
          <w:szCs w:val="32"/>
          <w:u w:val="none"/>
          <w:shd w:val="clear" w:color="auto" w:fill="FFFFFF"/>
          <w:lang w:eastAsia="zh-CN"/>
        </w:rPr>
        <w:t>就《关于推进“八五”法治宣传教育规划实施的决议》贯彻落实情况开展调研，</w:t>
      </w:r>
      <w:r>
        <w:rPr>
          <w:rFonts w:hint="eastAsia" w:ascii="仿宋_GB2312" w:hAnsi="仿宋_GB2312" w:eastAsia="仿宋_GB2312" w:cs="仿宋_GB2312"/>
          <w:bCs/>
          <w:color w:val="auto"/>
          <w:sz w:val="32"/>
          <w:szCs w:val="32"/>
          <w:u w:val="none"/>
          <w:shd w:val="clear" w:color="auto" w:fill="FFFFFF"/>
        </w:rPr>
        <w:t>提高普法的针对性和实效性</w:t>
      </w:r>
      <w:bookmarkEnd w:id="14"/>
      <w:r>
        <w:rPr>
          <w:rFonts w:hint="eastAsia" w:ascii="仿宋_GB2312" w:hAnsi="仿宋_GB2312" w:eastAsia="仿宋_GB2312" w:cs="仿宋_GB2312"/>
          <w:bCs/>
          <w:color w:val="auto"/>
          <w:sz w:val="32"/>
          <w:szCs w:val="32"/>
          <w:u w:val="none"/>
          <w:shd w:val="clear" w:color="auto" w:fill="FFFFFF"/>
        </w:rPr>
        <w:t>。提高备案审查工作质量，听取审议备案审查工作情况报告</w:t>
      </w:r>
      <w:r>
        <w:rPr>
          <w:rFonts w:hint="eastAsia" w:ascii="仿宋_GB2312" w:hAnsi="仿宋_GB2312" w:eastAsia="仿宋_GB2312" w:cs="仿宋_GB2312"/>
          <w:bCs/>
          <w:color w:val="auto"/>
          <w:sz w:val="32"/>
          <w:szCs w:val="32"/>
          <w:u w:val="none"/>
          <w:shd w:val="clear" w:color="auto" w:fill="FFFFFF"/>
          <w:lang w:eastAsia="zh-CN"/>
        </w:rPr>
        <w:t>，</w:t>
      </w:r>
      <w:r>
        <w:rPr>
          <w:rFonts w:hint="eastAsia" w:ascii="仿宋_GB2312" w:hAnsi="仿宋_GB2312" w:eastAsia="仿宋_GB2312" w:cs="仿宋_GB2312"/>
          <w:bCs/>
          <w:color w:val="auto"/>
          <w:sz w:val="32"/>
          <w:szCs w:val="32"/>
          <w:u w:val="none"/>
          <w:shd w:val="clear" w:color="auto" w:fill="FFFFFF"/>
        </w:rPr>
        <w:t>加快建设备案审查信息平台</w:t>
      </w:r>
      <w:r>
        <w:rPr>
          <w:rFonts w:hint="eastAsia" w:ascii="仿宋_GB2312" w:hAnsi="仿宋_GB2312" w:eastAsia="仿宋_GB2312" w:cs="仿宋_GB2312"/>
          <w:bCs/>
          <w:color w:val="auto"/>
          <w:sz w:val="32"/>
          <w:szCs w:val="32"/>
          <w:u w:val="none"/>
          <w:shd w:val="clear" w:color="auto" w:fill="FFFFFF"/>
          <w:lang w:eastAsia="zh-CN"/>
        </w:rPr>
        <w:t>，依法</w:t>
      </w:r>
      <w:r>
        <w:rPr>
          <w:rFonts w:hint="eastAsia" w:ascii="仿宋_GB2312" w:hAnsi="仿宋_GB2312" w:eastAsia="仿宋_GB2312" w:cs="仿宋_GB2312"/>
          <w:bCs/>
          <w:color w:val="auto"/>
          <w:sz w:val="32"/>
          <w:szCs w:val="32"/>
          <w:u w:val="none"/>
          <w:shd w:val="clear" w:color="auto" w:fill="FFFFFF"/>
        </w:rPr>
        <w:t>处</w:t>
      </w:r>
      <w:r>
        <w:rPr>
          <w:rFonts w:hint="eastAsia" w:ascii="仿宋_GB2312" w:hAnsi="仿宋_GB2312" w:eastAsia="仿宋_GB2312" w:cs="仿宋_GB2312"/>
          <w:bCs/>
          <w:color w:val="auto"/>
          <w:sz w:val="32"/>
          <w:szCs w:val="32"/>
          <w:u w:val="none"/>
          <w:shd w:val="clear" w:color="auto" w:fill="FFFFFF"/>
          <w:lang w:eastAsia="zh-CN"/>
        </w:rPr>
        <w:t>理违</w:t>
      </w:r>
      <w:r>
        <w:rPr>
          <w:rFonts w:hint="eastAsia" w:ascii="仿宋_GB2312" w:hAnsi="仿宋_GB2312" w:eastAsia="仿宋_GB2312" w:cs="仿宋_GB2312"/>
          <w:bCs/>
          <w:color w:val="auto"/>
          <w:sz w:val="32"/>
          <w:szCs w:val="32"/>
          <w:u w:val="none"/>
          <w:shd w:val="clear" w:color="auto" w:fill="FFFFFF"/>
        </w:rPr>
        <w:t>宪</w:t>
      </w:r>
      <w:r>
        <w:rPr>
          <w:rFonts w:hint="eastAsia" w:ascii="仿宋_GB2312" w:hAnsi="仿宋_GB2312" w:eastAsia="仿宋_GB2312" w:cs="仿宋_GB2312"/>
          <w:bCs/>
          <w:color w:val="auto"/>
          <w:sz w:val="32"/>
          <w:szCs w:val="32"/>
          <w:u w:val="none"/>
          <w:shd w:val="clear" w:color="auto" w:fill="FFFFFF"/>
          <w:lang w:eastAsia="zh-CN"/>
        </w:rPr>
        <w:t>违法</w:t>
      </w:r>
      <w:r>
        <w:rPr>
          <w:rFonts w:hint="eastAsia" w:ascii="仿宋_GB2312" w:hAnsi="仿宋_GB2312" w:eastAsia="仿宋_GB2312" w:cs="仿宋_GB2312"/>
          <w:bCs/>
          <w:color w:val="auto"/>
          <w:sz w:val="32"/>
          <w:szCs w:val="32"/>
          <w:u w:val="none"/>
          <w:shd w:val="clear" w:color="auto" w:fill="FFFFFF"/>
        </w:rPr>
        <w:t>问题，做到有件必备、有备必审、有错必纠。</w:t>
      </w:r>
    </w:p>
    <w:p>
      <w:pPr>
        <w:pStyle w:val="2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绩效指标：立法任务完成率100%，预备立法项目完成率100%，立法调研完成率100%。</w:t>
      </w:r>
    </w:p>
    <w:p>
      <w:pPr>
        <w:pStyle w:val="2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）监督工作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w:t>
      </w:r>
      <w:bookmarkStart w:id="15" w:name="_Hlk93744997"/>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u w:val="none"/>
          <w:lang w:eastAsia="zh-CN"/>
        </w:rPr>
        <w:t>着力</w:t>
      </w:r>
      <w:r>
        <w:rPr>
          <w:rFonts w:hint="eastAsia" w:ascii="仿宋_GB2312" w:hAnsi="仿宋_GB2312" w:eastAsia="仿宋_GB2312" w:cs="仿宋_GB2312"/>
          <w:b/>
          <w:bCs/>
          <w:color w:val="auto"/>
          <w:sz w:val="32"/>
          <w:szCs w:val="32"/>
          <w:u w:val="none"/>
        </w:rPr>
        <w:t>增强监督</w:t>
      </w:r>
      <w:r>
        <w:rPr>
          <w:rFonts w:hint="eastAsia" w:ascii="仿宋_GB2312" w:hAnsi="仿宋_GB2312" w:eastAsia="仿宋_GB2312" w:cs="仿宋_GB2312"/>
          <w:b/>
          <w:bCs/>
          <w:color w:val="auto"/>
          <w:sz w:val="32"/>
          <w:szCs w:val="32"/>
          <w:u w:val="none"/>
          <w:lang w:eastAsia="zh-CN"/>
        </w:rPr>
        <w:t>工作</w:t>
      </w:r>
      <w:r>
        <w:rPr>
          <w:rFonts w:hint="eastAsia" w:ascii="仿宋_GB2312" w:hAnsi="仿宋_GB2312" w:eastAsia="仿宋_GB2312" w:cs="仿宋_GB2312"/>
          <w:b/>
          <w:bCs/>
          <w:color w:val="auto"/>
          <w:sz w:val="32"/>
          <w:szCs w:val="32"/>
          <w:u w:val="none"/>
        </w:rPr>
        <w:t>实效</w:t>
      </w:r>
      <w:r>
        <w:rPr>
          <w:rFonts w:hint="eastAsia" w:ascii="仿宋_GB2312" w:hAnsi="仿宋_GB2312" w:eastAsia="仿宋_GB2312" w:cs="仿宋_GB2312"/>
          <w:color w:val="auto"/>
          <w:sz w:val="32"/>
          <w:szCs w:val="32"/>
          <w:u w:val="none"/>
        </w:rPr>
        <w:t>。</w:t>
      </w:r>
      <w:bookmarkEnd w:id="15"/>
      <w:r>
        <w:rPr>
          <w:rFonts w:hint="eastAsia" w:ascii="仿宋_GB2312" w:hAnsi="仿宋_GB2312" w:eastAsia="仿宋_GB2312" w:cs="仿宋_GB2312"/>
          <w:color w:val="auto"/>
          <w:sz w:val="32"/>
          <w:szCs w:val="32"/>
          <w:u w:val="none"/>
        </w:rPr>
        <w:t>紧扣市十五次党代会、市委十五届四次全会</w:t>
      </w:r>
      <w:r>
        <w:rPr>
          <w:rFonts w:hint="eastAsia" w:ascii="仿宋_GB2312" w:hAnsi="仿宋_GB2312" w:eastAsia="仿宋_GB2312" w:cs="仿宋_GB2312"/>
          <w:color w:val="auto"/>
          <w:sz w:val="32"/>
          <w:szCs w:val="32"/>
          <w:u w:val="none"/>
          <w:lang w:eastAsia="zh-CN"/>
        </w:rPr>
        <w:t>和市十五届人大二次会议确定的目标任务</w:t>
      </w:r>
      <w:r>
        <w:rPr>
          <w:rFonts w:hint="eastAsia" w:ascii="仿宋_GB2312" w:hAnsi="仿宋_GB2312" w:eastAsia="仿宋_GB2312" w:cs="仿宋_GB2312"/>
          <w:color w:val="auto"/>
          <w:sz w:val="32"/>
          <w:szCs w:val="32"/>
          <w:u w:val="none"/>
        </w:rPr>
        <w:t>，聚焦改革发展重点问题、群众关注的热点问题、法律法规实施中的</w:t>
      </w:r>
      <w:r>
        <w:rPr>
          <w:rFonts w:hint="eastAsia" w:ascii="仿宋_GB2312" w:hAnsi="仿宋_GB2312" w:eastAsia="仿宋_GB2312" w:cs="仿宋_GB2312"/>
          <w:color w:val="auto"/>
          <w:sz w:val="32"/>
          <w:szCs w:val="32"/>
          <w:u w:val="none"/>
          <w:lang w:eastAsia="zh-CN"/>
        </w:rPr>
        <w:t>堵</w:t>
      </w:r>
      <w:r>
        <w:rPr>
          <w:rFonts w:hint="eastAsia" w:ascii="仿宋_GB2312" w:hAnsi="仿宋_GB2312" w:eastAsia="仿宋_GB2312" w:cs="仿宋_GB2312"/>
          <w:color w:val="auto"/>
          <w:sz w:val="32"/>
          <w:szCs w:val="32"/>
          <w:u w:val="none"/>
        </w:rPr>
        <w:t>点问题，</w:t>
      </w:r>
      <w:r>
        <w:rPr>
          <w:rFonts w:hint="eastAsia" w:ascii="仿宋_GB2312" w:hAnsi="仿宋_GB2312" w:eastAsia="仿宋_GB2312" w:cs="仿宋_GB2312"/>
          <w:color w:val="auto"/>
          <w:sz w:val="32"/>
          <w:szCs w:val="32"/>
          <w:u w:val="none"/>
          <w:lang w:eastAsia="zh-CN"/>
        </w:rPr>
        <w:t>实行正确监督、有效监督、依法监督</w:t>
      </w:r>
      <w:r>
        <w:rPr>
          <w:rFonts w:hint="eastAsia" w:ascii="仿宋_GB2312" w:hAnsi="仿宋_GB2312" w:eastAsia="仿宋_GB2312" w:cs="仿宋_GB2312"/>
          <w:bCs/>
          <w:color w:val="auto"/>
          <w:sz w:val="32"/>
          <w:szCs w:val="32"/>
          <w:u w:val="none"/>
          <w:lang w:eastAsia="zh-CN"/>
        </w:rPr>
        <w:t>，</w:t>
      </w:r>
      <w:r>
        <w:rPr>
          <w:rFonts w:hint="eastAsia" w:ascii="仿宋_GB2312" w:hAnsi="仿宋_GB2312" w:eastAsia="仿宋_GB2312" w:cs="仿宋_GB2312"/>
          <w:bCs/>
          <w:color w:val="auto"/>
          <w:sz w:val="32"/>
          <w:szCs w:val="32"/>
          <w:u w:val="none"/>
        </w:rPr>
        <w:t>寓支持于监督之中。</w:t>
      </w:r>
      <w:r>
        <w:rPr>
          <w:rFonts w:hint="eastAsia" w:ascii="仿宋_GB2312" w:hAnsi="仿宋_GB2312" w:eastAsia="仿宋_GB2312" w:cs="仿宋_GB2312"/>
          <w:bCs/>
          <w:color w:val="auto"/>
          <w:sz w:val="32"/>
          <w:szCs w:val="32"/>
          <w:u w:val="none"/>
          <w:shd w:val="clear" w:color="auto" w:fill="FFFFFF"/>
        </w:rPr>
        <w:t>研究制定加强和改进人大监督工作的实施意见，全面提升监督实效和规范化水平。</w:t>
      </w:r>
      <w:r>
        <w:rPr>
          <w:rFonts w:hint="eastAsia" w:ascii="仿宋_GB2312" w:hAnsi="仿宋_GB2312" w:eastAsia="仿宋_GB2312" w:cs="仿宋_GB2312"/>
          <w:color w:val="auto"/>
          <w:sz w:val="32"/>
          <w:szCs w:val="32"/>
          <w:u w:val="none"/>
        </w:rPr>
        <w:t>丰富和探索监督形式，注重运用联动监督、跟踪监督、特定问题调查等形式深化监督</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sz w:val="32"/>
          <w:szCs w:val="32"/>
          <w:u w:val="none"/>
        </w:rPr>
        <w:t>推动“联动监督＋”</w:t>
      </w:r>
      <w:r>
        <w:rPr>
          <w:rFonts w:hint="eastAsia" w:ascii="仿宋_GB2312" w:hAnsi="仿宋_GB2312" w:eastAsia="仿宋_GB2312" w:cs="仿宋_GB2312"/>
          <w:color w:val="auto"/>
          <w:sz w:val="32"/>
          <w:szCs w:val="32"/>
          <w:u w:val="none"/>
        </w:rPr>
        <w:t>工作制度化常态化</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bCs/>
          <w:color w:val="auto"/>
          <w:sz w:val="32"/>
          <w:szCs w:val="32"/>
          <w:u w:val="none"/>
        </w:rPr>
        <w:t>巩固发展“真监督、真支持、真解决问题”</w:t>
      </w:r>
      <w:r>
        <w:rPr>
          <w:rFonts w:hint="eastAsia" w:ascii="仿宋_GB2312" w:hAnsi="仿宋_GB2312" w:eastAsia="仿宋_GB2312" w:cs="仿宋_GB2312"/>
          <w:bCs/>
          <w:color w:val="auto"/>
          <w:sz w:val="32"/>
          <w:szCs w:val="32"/>
          <w:u w:val="none"/>
          <w:lang w:eastAsia="zh-CN"/>
        </w:rPr>
        <w:t>的</w:t>
      </w:r>
      <w:r>
        <w:rPr>
          <w:rFonts w:hint="eastAsia" w:ascii="仿宋_GB2312" w:hAnsi="仿宋_GB2312" w:eastAsia="仿宋_GB2312" w:cs="仿宋_GB2312"/>
          <w:bCs/>
          <w:color w:val="auto"/>
          <w:sz w:val="32"/>
          <w:szCs w:val="32"/>
          <w:u w:val="none"/>
        </w:rPr>
        <w:t>良好局面</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b/>
          <w:color w:val="auto"/>
          <w:sz w:val="32"/>
          <w:szCs w:val="32"/>
          <w:u w:val="none"/>
          <w:lang w:val="zh-CN"/>
        </w:rPr>
        <w:t>加强经济工作监督</w:t>
      </w:r>
      <w:r>
        <w:rPr>
          <w:rFonts w:hint="eastAsia" w:ascii="仿宋_GB2312" w:hAnsi="仿宋_GB2312" w:eastAsia="仿宋_GB2312" w:cs="仿宋_GB2312"/>
          <w:bCs/>
          <w:color w:val="auto"/>
          <w:sz w:val="32"/>
          <w:szCs w:val="32"/>
          <w:u w:val="none"/>
          <w:lang w:val="zh-CN"/>
        </w:rPr>
        <w:t>。根据全国人大常委会新修订的</w:t>
      </w:r>
      <w:r>
        <w:rPr>
          <w:rFonts w:hint="eastAsia" w:ascii="仿宋_GB2312" w:hAnsi="仿宋_GB2312" w:eastAsia="仿宋_GB2312" w:cs="仿宋_GB2312"/>
          <w:color w:val="auto"/>
          <w:sz w:val="32"/>
          <w:szCs w:val="32"/>
          <w:u w:val="none"/>
          <w:shd w:val="clear" w:color="auto" w:fill="FFFFFF"/>
        </w:rPr>
        <w:t>关于加强经济工作监督的决定</w:t>
      </w:r>
      <w:r>
        <w:rPr>
          <w:rFonts w:hint="eastAsia" w:ascii="仿宋_GB2312" w:hAnsi="仿宋_GB2312" w:eastAsia="仿宋_GB2312" w:cs="仿宋_GB2312"/>
          <w:color w:val="auto"/>
          <w:sz w:val="32"/>
          <w:szCs w:val="32"/>
          <w:u w:val="none"/>
          <w:shd w:val="clear" w:color="auto" w:fill="FFFFFF"/>
          <w:lang w:eastAsia="zh-CN"/>
        </w:rPr>
        <w:t>，制定</w:t>
      </w:r>
      <w:r>
        <w:rPr>
          <w:rFonts w:hint="eastAsia" w:ascii="仿宋_GB2312" w:hAnsi="仿宋_GB2312" w:eastAsia="仿宋_GB2312" w:cs="仿宋_GB2312"/>
          <w:color w:val="auto"/>
          <w:sz w:val="32"/>
          <w:szCs w:val="32"/>
          <w:u w:val="none"/>
        </w:rPr>
        <w:t>出台</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承德市人大常委会关于加强经济工作监督的决定</w:t>
      </w:r>
      <w:r>
        <w:rPr>
          <w:rFonts w:hint="eastAsia" w:ascii="仿宋_GB2312" w:hAnsi="仿宋_GB2312" w:eastAsia="仿宋_GB2312" w:cs="仿宋_GB2312"/>
          <w:color w:val="auto"/>
          <w:sz w:val="32"/>
          <w:szCs w:val="32"/>
          <w:u w:val="none"/>
          <w:lang w:eastAsia="zh-CN"/>
        </w:rPr>
        <w:t>》，进一步规范监督程序，明确监督重点，增强监督实效</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b w:val="0"/>
          <w:bCs w:val="0"/>
          <w:color w:val="auto"/>
          <w:sz w:val="32"/>
          <w:szCs w:val="32"/>
          <w:u w:val="none"/>
          <w:lang w:val="en-US" w:eastAsia="zh-CN"/>
        </w:rPr>
        <w:t>集中开展“5+2”联动监督，</w:t>
      </w:r>
      <w:r>
        <w:rPr>
          <w:rFonts w:hint="eastAsia" w:ascii="仿宋_GB2312" w:hAnsi="仿宋_GB2312" w:eastAsia="仿宋_GB2312" w:cs="仿宋_GB2312"/>
          <w:color w:val="auto"/>
          <w:sz w:val="32"/>
          <w:szCs w:val="32"/>
          <w:u w:val="none"/>
          <w:lang w:val="en-US" w:eastAsia="zh-CN"/>
        </w:rPr>
        <w:t>即</w:t>
      </w:r>
      <w:r>
        <w:rPr>
          <w:rFonts w:hint="eastAsia" w:ascii="仿宋_GB2312" w:hAnsi="仿宋_GB2312" w:eastAsia="仿宋_GB2312" w:cs="仿宋_GB2312"/>
          <w:color w:val="auto"/>
          <w:sz w:val="32"/>
          <w:szCs w:val="32"/>
          <w:u w:val="none"/>
          <w:lang w:eastAsia="zh-CN"/>
        </w:rPr>
        <w:t>按照省人大常委会统一部署，就重点项目建设、优化营商环境、地下水超采治理、农村人居环境整治提升、城市生活垃圾分类管理等五个领域开展联动监督；在此基础上，对我市农业结构调整、开发区（高新区）提升进行联动监督，着力解决制约经济社会高质量发展的重点难点问题。</w:t>
      </w:r>
      <w:r>
        <w:rPr>
          <w:rFonts w:hint="eastAsia" w:ascii="仿宋_GB2312" w:hAnsi="仿宋_GB2312" w:eastAsia="仿宋_GB2312" w:cs="仿宋_GB2312"/>
          <w:color w:val="auto"/>
          <w:sz w:val="32"/>
          <w:szCs w:val="32"/>
          <w:u w:val="none"/>
          <w:shd w:val="clear" w:color="auto" w:fill="FFFFFF"/>
        </w:rPr>
        <w:t>听取2022年国民经济和社会发展计划上半年执行情况的</w:t>
      </w:r>
      <w:r>
        <w:rPr>
          <w:rFonts w:hint="eastAsia" w:ascii="仿宋_GB2312" w:hAnsi="仿宋_GB2312" w:eastAsia="仿宋_GB2312" w:cs="仿宋_GB2312"/>
          <w:color w:val="auto"/>
          <w:sz w:val="32"/>
          <w:szCs w:val="32"/>
          <w:u w:val="none"/>
          <w:shd w:val="clear" w:color="auto" w:fill="FFFFFF"/>
          <w:lang w:eastAsia="zh-CN"/>
        </w:rPr>
        <w:t>报告，</w:t>
      </w:r>
      <w:r>
        <w:rPr>
          <w:rFonts w:hint="eastAsia" w:ascii="仿宋_GB2312" w:hAnsi="仿宋_GB2312" w:eastAsia="仿宋_GB2312" w:cs="仿宋_GB2312"/>
          <w:bCs/>
          <w:color w:val="auto"/>
          <w:sz w:val="32"/>
          <w:szCs w:val="32"/>
          <w:u w:val="none"/>
          <w:shd w:val="clear" w:color="auto" w:fill="FFFFFF"/>
          <w:lang w:eastAsia="zh-CN"/>
        </w:rPr>
        <w:t>加强对财源性项目建设监督，对政府金融工作、</w:t>
      </w:r>
      <w:r>
        <w:rPr>
          <w:rFonts w:hint="eastAsia" w:ascii="仿宋_GB2312" w:hAnsi="仿宋_GB2312" w:eastAsia="仿宋_GB2312" w:cs="仿宋_GB2312"/>
          <w:bCs/>
          <w:color w:val="auto"/>
          <w:sz w:val="32"/>
          <w:szCs w:val="32"/>
          <w:u w:val="none"/>
          <w:shd w:val="clear" w:color="auto" w:fill="FFFFFF"/>
        </w:rPr>
        <w:t>山杏产业发展</w:t>
      </w:r>
      <w:r>
        <w:rPr>
          <w:rFonts w:hint="eastAsia" w:ascii="仿宋_GB2312" w:hAnsi="仿宋_GB2312" w:eastAsia="仿宋_GB2312" w:cs="仿宋_GB2312"/>
          <w:bCs/>
          <w:color w:val="auto"/>
          <w:sz w:val="32"/>
          <w:szCs w:val="32"/>
          <w:u w:val="none"/>
          <w:shd w:val="clear" w:color="auto" w:fill="FFFFFF"/>
          <w:lang w:eastAsia="zh-CN"/>
        </w:rPr>
        <w:t>情况</w:t>
      </w:r>
      <w:r>
        <w:rPr>
          <w:rFonts w:hint="eastAsia" w:ascii="仿宋_GB2312" w:hAnsi="仿宋_GB2312" w:eastAsia="仿宋_GB2312" w:cs="仿宋_GB2312"/>
          <w:bCs/>
          <w:color w:val="auto"/>
          <w:sz w:val="32"/>
          <w:szCs w:val="32"/>
          <w:u w:val="none"/>
          <w:shd w:val="clear" w:color="auto" w:fill="FFFFFF"/>
        </w:rPr>
        <w:t>等进行调研</w:t>
      </w:r>
      <w:r>
        <w:rPr>
          <w:rFonts w:hint="eastAsia" w:ascii="仿宋_GB2312" w:hAnsi="仿宋_GB2312" w:eastAsia="仿宋_GB2312" w:cs="仿宋_GB2312"/>
          <w:bCs/>
          <w:color w:val="auto"/>
          <w:sz w:val="32"/>
          <w:szCs w:val="32"/>
          <w:u w:val="none"/>
          <w:shd w:val="clear" w:color="auto" w:fill="FFFFFF"/>
          <w:lang w:eastAsia="zh-CN"/>
        </w:rPr>
        <w:t>，推动全市经济社会平稳健康发展</w:t>
      </w:r>
      <w:r>
        <w:rPr>
          <w:rFonts w:hint="eastAsia" w:ascii="仿宋_GB2312" w:hAnsi="仿宋_GB2312" w:eastAsia="仿宋_GB2312" w:cs="仿宋_GB2312"/>
          <w:color w:val="auto"/>
          <w:sz w:val="32"/>
          <w:szCs w:val="32"/>
          <w:u w:val="none"/>
          <w:shd w:val="clear" w:color="auto" w:fill="FFFFFF"/>
        </w:rPr>
        <w:t>。</w:t>
      </w:r>
      <w:r>
        <w:rPr>
          <w:rFonts w:hint="eastAsia" w:ascii="仿宋_GB2312" w:hAnsi="仿宋_GB2312" w:eastAsia="仿宋_GB2312" w:cs="仿宋_GB2312"/>
          <w:b/>
          <w:color w:val="auto"/>
          <w:sz w:val="32"/>
          <w:szCs w:val="32"/>
          <w:u w:val="none"/>
          <w:shd w:val="clear" w:color="auto" w:fill="FFFFFF"/>
        </w:rPr>
        <w:t>加强预决算审查</w:t>
      </w:r>
      <w:r>
        <w:rPr>
          <w:rFonts w:hint="eastAsia" w:ascii="仿宋_GB2312" w:hAnsi="仿宋_GB2312" w:eastAsia="仿宋_GB2312" w:cs="仿宋_GB2312"/>
          <w:b/>
          <w:color w:val="auto"/>
          <w:sz w:val="32"/>
          <w:szCs w:val="32"/>
          <w:u w:val="none"/>
          <w:shd w:val="clear" w:color="auto" w:fill="FFFFFF"/>
          <w:lang w:eastAsia="zh-CN"/>
        </w:rPr>
        <w:t>和国有资产</w:t>
      </w:r>
      <w:r>
        <w:rPr>
          <w:rFonts w:hint="eastAsia" w:ascii="仿宋_GB2312" w:hAnsi="仿宋_GB2312" w:eastAsia="仿宋_GB2312" w:cs="仿宋_GB2312"/>
          <w:b/>
          <w:color w:val="auto"/>
          <w:sz w:val="32"/>
          <w:szCs w:val="32"/>
          <w:u w:val="none"/>
          <w:shd w:val="clear" w:color="auto" w:fill="FFFFFF"/>
        </w:rPr>
        <w:t>监督</w:t>
      </w:r>
      <w:r>
        <w:rPr>
          <w:rFonts w:hint="eastAsia" w:ascii="仿宋_GB2312" w:hAnsi="仿宋_GB2312" w:eastAsia="仿宋_GB2312" w:cs="仿宋_GB2312"/>
          <w:bCs/>
          <w:color w:val="auto"/>
          <w:sz w:val="32"/>
          <w:szCs w:val="32"/>
          <w:u w:val="none"/>
          <w:shd w:val="clear" w:color="auto" w:fill="FFFFFF"/>
        </w:rPr>
        <w:t>。</w:t>
      </w:r>
      <w:r>
        <w:rPr>
          <w:rFonts w:hint="eastAsia" w:ascii="仿宋_GB2312" w:hAnsi="仿宋_GB2312" w:eastAsia="仿宋_GB2312" w:cs="仿宋_GB2312"/>
          <w:bCs/>
          <w:color w:val="auto"/>
          <w:sz w:val="32"/>
          <w:szCs w:val="32"/>
          <w:u w:val="none"/>
          <w:shd w:val="clear" w:color="auto" w:fill="FFFFFF"/>
          <w:lang w:eastAsia="zh-CN"/>
        </w:rPr>
        <w:t>研究</w:t>
      </w:r>
      <w:r>
        <w:rPr>
          <w:rFonts w:hint="eastAsia" w:ascii="仿宋_GB2312" w:hAnsi="仿宋_GB2312" w:eastAsia="仿宋_GB2312" w:cs="仿宋_GB2312"/>
          <w:color w:val="auto"/>
          <w:sz w:val="32"/>
          <w:szCs w:val="32"/>
          <w:u w:val="none"/>
          <w:shd w:val="clear" w:color="auto" w:fill="FFFFFF"/>
          <w:lang w:eastAsia="zh-CN"/>
        </w:rPr>
        <w:t>制定《关于建立</w:t>
      </w:r>
      <w:r>
        <w:rPr>
          <w:rFonts w:hint="eastAsia" w:ascii="仿宋_GB2312" w:hAnsi="仿宋_GB2312" w:eastAsia="仿宋_GB2312" w:cs="仿宋_GB2312"/>
          <w:color w:val="auto"/>
          <w:sz w:val="32"/>
          <w:szCs w:val="32"/>
          <w:u w:val="none"/>
          <w:shd w:val="clear" w:color="auto" w:fill="FFFFFF"/>
        </w:rPr>
        <w:t>市政府向市人大常委会报告</w:t>
      </w:r>
      <w:r>
        <w:rPr>
          <w:rFonts w:hint="eastAsia" w:ascii="仿宋_GB2312" w:hAnsi="仿宋_GB2312" w:eastAsia="仿宋_GB2312" w:cs="仿宋_GB2312"/>
          <w:color w:val="auto"/>
          <w:sz w:val="32"/>
          <w:szCs w:val="32"/>
          <w:u w:val="none"/>
        </w:rPr>
        <w:t>地方政府债务管理情况制度的意见</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bCs/>
          <w:color w:val="auto"/>
          <w:sz w:val="32"/>
          <w:szCs w:val="32"/>
          <w:u w:val="none"/>
          <w:shd w:val="clear" w:color="auto" w:fill="FFFFFF"/>
          <w:lang w:eastAsia="zh-CN"/>
        </w:rPr>
        <w:t>修改完善</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市政府向市人大常委会报告国有资产管理情况办法</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shd w:val="clear" w:color="auto" w:fill="FFFFFF"/>
        </w:rPr>
        <w:t>听取审议2021年</w:t>
      </w:r>
      <w:r>
        <w:rPr>
          <w:rFonts w:hint="eastAsia" w:ascii="仿宋_GB2312" w:hAnsi="仿宋_GB2312" w:eastAsia="仿宋_GB2312" w:cs="仿宋_GB2312"/>
          <w:color w:val="auto"/>
          <w:sz w:val="32"/>
          <w:szCs w:val="32"/>
          <w:u w:val="none"/>
          <w:shd w:val="clear" w:color="auto" w:fill="FFFFFF"/>
          <w:lang w:eastAsia="zh-CN"/>
        </w:rPr>
        <w:t>财政</w:t>
      </w:r>
      <w:r>
        <w:rPr>
          <w:rFonts w:hint="eastAsia" w:ascii="仿宋_GB2312" w:hAnsi="仿宋_GB2312" w:eastAsia="仿宋_GB2312" w:cs="仿宋_GB2312"/>
          <w:color w:val="auto"/>
          <w:sz w:val="32"/>
          <w:szCs w:val="32"/>
          <w:u w:val="none"/>
          <w:shd w:val="clear" w:color="auto" w:fill="FFFFFF"/>
        </w:rPr>
        <w:t>决算情况</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lang w:val="en-US" w:eastAsia="zh-CN"/>
        </w:rPr>
        <w:t>2022年上半年</w:t>
      </w:r>
      <w:r>
        <w:rPr>
          <w:rFonts w:hint="eastAsia" w:ascii="仿宋_GB2312" w:hAnsi="仿宋_GB2312" w:eastAsia="仿宋_GB2312" w:cs="仿宋_GB2312"/>
          <w:color w:val="auto"/>
          <w:sz w:val="32"/>
          <w:szCs w:val="32"/>
          <w:u w:val="none"/>
          <w:shd w:val="clear" w:color="auto" w:fill="FFFFFF"/>
        </w:rPr>
        <w:t>预算执行情况、</w:t>
      </w:r>
      <w:r>
        <w:rPr>
          <w:rFonts w:hint="eastAsia" w:ascii="仿宋_GB2312" w:hAnsi="仿宋_GB2312" w:eastAsia="仿宋_GB2312" w:cs="仿宋_GB2312"/>
          <w:color w:val="auto"/>
          <w:sz w:val="32"/>
          <w:szCs w:val="32"/>
          <w:u w:val="none"/>
          <w:shd w:val="clear" w:color="auto" w:fill="FFFFFF"/>
          <w:lang w:val="en-US" w:eastAsia="zh-CN"/>
        </w:rPr>
        <w:t>2021年</w:t>
      </w:r>
      <w:r>
        <w:rPr>
          <w:rFonts w:hint="eastAsia" w:ascii="仿宋_GB2312" w:hAnsi="仿宋_GB2312" w:eastAsia="仿宋_GB2312" w:cs="仿宋_GB2312"/>
          <w:color w:val="auto"/>
          <w:sz w:val="32"/>
          <w:szCs w:val="32"/>
          <w:u w:val="none"/>
          <w:shd w:val="clear" w:color="auto" w:fill="FFFFFF"/>
        </w:rPr>
        <w:t>市本级预算执行和其他财政收支情况审计</w:t>
      </w:r>
      <w:r>
        <w:rPr>
          <w:rFonts w:hint="eastAsia" w:ascii="仿宋_GB2312" w:hAnsi="仿宋_GB2312" w:eastAsia="仿宋_GB2312" w:cs="仿宋_GB2312"/>
          <w:color w:val="auto"/>
          <w:sz w:val="32"/>
          <w:szCs w:val="32"/>
          <w:u w:val="none"/>
          <w:shd w:val="clear" w:color="auto" w:fill="FFFFFF"/>
          <w:lang w:eastAsia="zh-CN"/>
        </w:rPr>
        <w:t>及审计整改</w:t>
      </w:r>
      <w:r>
        <w:rPr>
          <w:rFonts w:hint="eastAsia" w:ascii="仿宋_GB2312" w:hAnsi="仿宋_GB2312" w:eastAsia="仿宋_GB2312" w:cs="仿宋_GB2312"/>
          <w:color w:val="auto"/>
          <w:sz w:val="32"/>
          <w:szCs w:val="32"/>
          <w:u w:val="none"/>
          <w:shd w:val="clear" w:color="auto" w:fill="FFFFFF"/>
        </w:rPr>
        <w:t>情况</w:t>
      </w:r>
      <w:r>
        <w:rPr>
          <w:rFonts w:hint="eastAsia" w:ascii="仿宋_GB2312" w:hAnsi="仿宋_GB2312" w:eastAsia="仿宋_GB2312" w:cs="仿宋_GB2312"/>
          <w:color w:val="auto"/>
          <w:sz w:val="32"/>
          <w:szCs w:val="32"/>
          <w:u w:val="none"/>
          <w:shd w:val="clear" w:color="auto" w:fill="FFFFFF"/>
          <w:lang w:eastAsia="zh-CN"/>
        </w:rPr>
        <w:t>等</w:t>
      </w:r>
      <w:r>
        <w:rPr>
          <w:rFonts w:hint="eastAsia" w:ascii="仿宋_GB2312" w:hAnsi="仿宋_GB2312" w:eastAsia="仿宋_GB2312" w:cs="仿宋_GB2312"/>
          <w:color w:val="auto"/>
          <w:sz w:val="32"/>
          <w:szCs w:val="32"/>
          <w:u w:val="none"/>
          <w:shd w:val="clear" w:color="auto" w:fill="FFFFFF"/>
        </w:rPr>
        <w:t>报告。</w:t>
      </w:r>
      <w:r>
        <w:rPr>
          <w:rFonts w:hint="eastAsia" w:ascii="仿宋_GB2312" w:hAnsi="仿宋_GB2312" w:eastAsia="仿宋_GB2312" w:cs="仿宋_GB2312"/>
          <w:color w:val="auto"/>
          <w:sz w:val="32"/>
          <w:szCs w:val="32"/>
          <w:u w:val="none"/>
          <w:lang w:eastAsia="zh-CN"/>
        </w:rPr>
        <w:t>对</w:t>
      </w:r>
      <w:r>
        <w:rPr>
          <w:rFonts w:hint="eastAsia" w:ascii="仿宋_GB2312" w:hAnsi="仿宋_GB2312" w:eastAsia="仿宋_GB2312" w:cs="仿宋_GB2312"/>
          <w:bCs/>
          <w:color w:val="auto"/>
          <w:sz w:val="32"/>
          <w:szCs w:val="32"/>
          <w:u w:val="none"/>
          <w:shd w:val="clear" w:color="auto" w:fill="FFFFFF"/>
        </w:rPr>
        <w:t>国有资产管理</w:t>
      </w:r>
      <w:r>
        <w:rPr>
          <w:rFonts w:hint="eastAsia" w:ascii="仿宋_GB2312" w:hAnsi="仿宋_GB2312" w:eastAsia="仿宋_GB2312" w:cs="仿宋_GB2312"/>
          <w:bCs/>
          <w:color w:val="auto"/>
          <w:sz w:val="32"/>
          <w:szCs w:val="32"/>
          <w:u w:val="none"/>
          <w:shd w:val="clear" w:color="auto" w:fill="FFFFFF"/>
          <w:lang w:eastAsia="zh-CN"/>
        </w:rPr>
        <w:t>及审计工作</w:t>
      </w:r>
      <w:r>
        <w:rPr>
          <w:rFonts w:hint="eastAsia" w:ascii="仿宋_GB2312" w:hAnsi="仿宋_GB2312" w:eastAsia="仿宋_GB2312" w:cs="仿宋_GB2312"/>
          <w:bCs/>
          <w:color w:val="auto"/>
          <w:sz w:val="32"/>
          <w:szCs w:val="32"/>
          <w:u w:val="none"/>
          <w:shd w:val="clear" w:color="auto" w:fill="FFFFFF"/>
        </w:rPr>
        <w:t>、政府性债务风险防范</w:t>
      </w:r>
      <w:r>
        <w:rPr>
          <w:rFonts w:hint="eastAsia" w:ascii="仿宋_GB2312" w:hAnsi="仿宋_GB2312" w:eastAsia="仿宋_GB2312" w:cs="仿宋_GB2312"/>
          <w:bCs/>
          <w:color w:val="auto"/>
          <w:sz w:val="32"/>
          <w:szCs w:val="32"/>
          <w:u w:val="none"/>
          <w:shd w:val="clear" w:color="auto" w:fill="FFFFFF"/>
          <w:lang w:eastAsia="zh-CN"/>
        </w:rPr>
        <w:t>情况</w:t>
      </w:r>
      <w:r>
        <w:rPr>
          <w:rFonts w:hint="eastAsia" w:ascii="仿宋_GB2312" w:hAnsi="仿宋_GB2312" w:eastAsia="仿宋_GB2312" w:cs="仿宋_GB2312"/>
          <w:bCs/>
          <w:color w:val="auto"/>
          <w:sz w:val="32"/>
          <w:szCs w:val="32"/>
          <w:u w:val="none"/>
          <w:shd w:val="clear" w:color="auto" w:fill="FFFFFF"/>
        </w:rPr>
        <w:t>进行调研</w:t>
      </w:r>
      <w:r>
        <w:rPr>
          <w:rFonts w:hint="eastAsia" w:ascii="仿宋_GB2312" w:hAnsi="仿宋_GB2312" w:eastAsia="仿宋_GB2312" w:cs="仿宋_GB2312"/>
          <w:bCs/>
          <w:color w:val="auto"/>
          <w:sz w:val="32"/>
          <w:szCs w:val="32"/>
          <w:u w:val="none"/>
          <w:shd w:val="clear" w:color="auto" w:fill="FFFFFF"/>
          <w:lang w:eastAsia="zh-CN"/>
        </w:rPr>
        <w:t>，对</w:t>
      </w:r>
      <w:r>
        <w:rPr>
          <w:rFonts w:hint="eastAsia" w:ascii="仿宋_GB2312" w:hAnsi="仿宋_GB2312" w:eastAsia="仿宋_GB2312" w:cs="仿宋_GB2312"/>
          <w:bCs/>
          <w:color w:val="auto"/>
          <w:sz w:val="32"/>
          <w:szCs w:val="32"/>
          <w:u w:val="none"/>
          <w:shd w:val="clear" w:color="auto" w:fill="FFFFFF"/>
        </w:rPr>
        <w:t>国有自然资源资产管理情况进行</w:t>
      </w:r>
      <w:r>
        <w:rPr>
          <w:rFonts w:hint="eastAsia" w:ascii="仿宋_GB2312" w:hAnsi="仿宋_GB2312" w:eastAsia="仿宋_GB2312" w:cs="仿宋_GB2312"/>
          <w:bCs/>
          <w:color w:val="auto"/>
          <w:sz w:val="32"/>
          <w:szCs w:val="32"/>
          <w:u w:val="none"/>
          <w:shd w:val="clear" w:color="auto" w:fill="FFFFFF"/>
          <w:lang w:eastAsia="zh-CN"/>
        </w:rPr>
        <w:t>视察并开展</w:t>
      </w:r>
      <w:r>
        <w:rPr>
          <w:rFonts w:hint="eastAsia" w:ascii="仿宋_GB2312" w:hAnsi="仿宋_GB2312" w:eastAsia="仿宋_GB2312" w:cs="仿宋_GB2312"/>
          <w:bCs/>
          <w:color w:val="auto"/>
          <w:sz w:val="32"/>
          <w:szCs w:val="32"/>
          <w:u w:val="none"/>
          <w:shd w:val="clear" w:color="auto" w:fill="FFFFFF"/>
        </w:rPr>
        <w:t>专题询问</w:t>
      </w:r>
      <w:r>
        <w:rPr>
          <w:rFonts w:hint="eastAsia" w:ascii="仿宋_GB2312" w:hAnsi="仿宋_GB2312" w:eastAsia="仿宋_GB2312" w:cs="仿宋_GB2312"/>
          <w:bCs/>
          <w:color w:val="auto"/>
          <w:sz w:val="32"/>
          <w:szCs w:val="32"/>
          <w:u w:val="none"/>
          <w:shd w:val="clear" w:color="auto" w:fill="FFFFFF"/>
          <w:lang w:eastAsia="zh-CN"/>
        </w:rPr>
        <w:t>。落实新《审计法》要求，开展对国有资产审计监督，</w:t>
      </w:r>
      <w:r>
        <w:rPr>
          <w:rFonts w:hint="eastAsia" w:ascii="仿宋_GB2312" w:hAnsi="仿宋_GB2312" w:eastAsia="仿宋_GB2312" w:cs="仿宋_GB2312"/>
          <w:color w:val="auto"/>
          <w:sz w:val="32"/>
          <w:szCs w:val="32"/>
          <w:u w:val="none"/>
          <w:shd w:val="clear" w:color="auto" w:fill="FFFFFF"/>
          <w:lang w:eastAsia="zh-CN"/>
        </w:rPr>
        <w:t>加大对国有企业年度审计力度。</w:t>
      </w:r>
      <w:r>
        <w:rPr>
          <w:rFonts w:hint="eastAsia" w:ascii="仿宋_GB2312" w:hAnsi="仿宋_GB2312" w:eastAsia="仿宋_GB2312" w:cs="仿宋_GB2312"/>
          <w:b/>
          <w:color w:val="auto"/>
          <w:sz w:val="32"/>
          <w:szCs w:val="32"/>
          <w:u w:val="none"/>
          <w:shd w:val="clear" w:color="auto" w:fill="FFFFFF"/>
          <w:lang w:eastAsia="zh-CN"/>
        </w:rPr>
        <w:t>加强</w:t>
      </w:r>
      <w:r>
        <w:rPr>
          <w:rFonts w:hint="eastAsia" w:ascii="仿宋_GB2312" w:hAnsi="仿宋_GB2312" w:eastAsia="仿宋_GB2312" w:cs="仿宋_GB2312"/>
          <w:b/>
          <w:color w:val="auto"/>
          <w:sz w:val="32"/>
          <w:szCs w:val="32"/>
          <w:u w:val="none"/>
          <w:shd w:val="clear" w:color="auto" w:fill="FFFFFF"/>
        </w:rPr>
        <w:t>生态环境</w:t>
      </w:r>
      <w:r>
        <w:rPr>
          <w:rFonts w:hint="eastAsia" w:ascii="仿宋_GB2312" w:hAnsi="仿宋_GB2312" w:eastAsia="仿宋_GB2312" w:cs="仿宋_GB2312"/>
          <w:b/>
          <w:color w:val="auto"/>
          <w:sz w:val="32"/>
          <w:szCs w:val="32"/>
          <w:u w:val="none"/>
          <w:shd w:val="clear" w:color="auto" w:fill="FFFFFF"/>
          <w:lang w:eastAsia="zh-CN"/>
        </w:rPr>
        <w:t>可持续发展</w:t>
      </w:r>
      <w:r>
        <w:rPr>
          <w:rFonts w:hint="eastAsia" w:ascii="仿宋_GB2312" w:hAnsi="仿宋_GB2312" w:eastAsia="仿宋_GB2312" w:cs="仿宋_GB2312"/>
          <w:b/>
          <w:color w:val="auto"/>
          <w:sz w:val="32"/>
          <w:szCs w:val="32"/>
          <w:u w:val="none"/>
          <w:shd w:val="clear" w:color="auto" w:fill="FFFFFF"/>
        </w:rPr>
        <w:t>监督</w:t>
      </w:r>
      <w:r>
        <w:rPr>
          <w:rFonts w:hint="eastAsia" w:ascii="仿宋_GB2312" w:hAnsi="仿宋_GB2312" w:eastAsia="仿宋_GB2312" w:cs="仿宋_GB2312"/>
          <w:bCs/>
          <w:color w:val="auto"/>
          <w:sz w:val="32"/>
          <w:szCs w:val="32"/>
          <w:u w:val="none"/>
          <w:shd w:val="clear" w:color="auto" w:fill="FFFFFF"/>
        </w:rPr>
        <w:t>。</w:t>
      </w:r>
      <w:r>
        <w:rPr>
          <w:rFonts w:hint="eastAsia" w:ascii="仿宋_GB2312" w:hAnsi="仿宋_GB2312" w:eastAsia="仿宋_GB2312" w:cs="仿宋_GB2312"/>
          <w:color w:val="auto"/>
          <w:sz w:val="32"/>
          <w:szCs w:val="32"/>
          <w:u w:val="none"/>
        </w:rPr>
        <w:t>听取市政府年度环境质量状况和环境保护目标完成情况</w:t>
      </w:r>
      <w:r>
        <w:rPr>
          <w:rFonts w:hint="eastAsia" w:ascii="仿宋_GB2312" w:hAnsi="仿宋_GB2312" w:eastAsia="仿宋_GB2312" w:cs="仿宋_GB2312"/>
          <w:color w:val="auto"/>
          <w:sz w:val="32"/>
          <w:szCs w:val="32"/>
          <w:u w:val="none"/>
          <w:lang w:eastAsia="zh-CN"/>
        </w:rPr>
        <w:t>的报告</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助力打造更高水平的生态环境</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bCs/>
          <w:color w:val="auto"/>
          <w:sz w:val="32"/>
          <w:szCs w:val="32"/>
          <w:u w:val="none"/>
          <w:shd w:val="clear" w:color="auto" w:fill="FFFFFF"/>
          <w:lang w:eastAsia="zh-CN"/>
        </w:rPr>
        <w:t>就《塞罕坝森林草原防火条例》和市人大常委会《决议》、禁止野外用火决定实施情况开展执法检查，</w:t>
      </w:r>
      <w:r>
        <w:rPr>
          <w:rFonts w:hint="eastAsia" w:ascii="仿宋_GB2312" w:hAnsi="仿宋_GB2312" w:eastAsia="仿宋_GB2312" w:cs="仿宋_GB2312"/>
          <w:bCs/>
          <w:color w:val="auto"/>
          <w:sz w:val="32"/>
          <w:szCs w:val="32"/>
          <w:u w:val="none"/>
          <w:shd w:val="clear" w:color="auto" w:fill="FFFFFF"/>
          <w:lang w:val="en-US" w:eastAsia="zh-CN"/>
        </w:rPr>
        <w:t>用法治力量确保人民群众生命财产和森林草原资源安全</w:t>
      </w:r>
      <w:r>
        <w:rPr>
          <w:rFonts w:hint="eastAsia" w:ascii="仿宋_GB2312" w:hAnsi="仿宋_GB2312" w:eastAsia="仿宋_GB2312" w:cs="仿宋_GB2312"/>
          <w:bCs/>
          <w:color w:val="auto"/>
          <w:sz w:val="32"/>
          <w:szCs w:val="32"/>
          <w:u w:val="none"/>
          <w:shd w:val="clear" w:color="auto" w:fill="FFFFFF"/>
          <w:lang w:eastAsia="zh-CN"/>
        </w:rPr>
        <w:t>。</w:t>
      </w:r>
      <w:r>
        <w:rPr>
          <w:rFonts w:hint="eastAsia" w:ascii="仿宋_GB2312" w:hAnsi="仿宋_GB2312" w:eastAsia="仿宋_GB2312" w:cs="仿宋_GB2312"/>
          <w:bCs/>
          <w:color w:val="auto"/>
          <w:sz w:val="32"/>
          <w:szCs w:val="32"/>
          <w:u w:val="none"/>
        </w:rPr>
        <w:t>对市政府落实《关于高质量推进承德国家可持续发展议程创新示范区建设的决议》情况进行监督检查</w:t>
      </w:r>
      <w:r>
        <w:rPr>
          <w:rFonts w:hint="eastAsia" w:ascii="仿宋_GB2312" w:hAnsi="仿宋_GB2312" w:eastAsia="仿宋_GB2312" w:cs="仿宋_GB2312"/>
          <w:bCs/>
          <w:color w:val="auto"/>
          <w:sz w:val="32"/>
          <w:szCs w:val="32"/>
          <w:u w:val="none"/>
          <w:lang w:eastAsia="zh-CN"/>
        </w:rPr>
        <w:t>，推动决议落实落地。听取审议</w:t>
      </w:r>
      <w:r>
        <w:rPr>
          <w:rFonts w:hint="eastAsia" w:ascii="仿宋_GB2312" w:hAnsi="仿宋_GB2312" w:eastAsia="仿宋_GB2312" w:cs="仿宋_GB2312"/>
          <w:bCs/>
          <w:color w:val="auto"/>
          <w:sz w:val="32"/>
          <w:szCs w:val="32"/>
          <w:u w:val="none"/>
          <w:shd w:val="clear" w:color="auto" w:fill="FFFFFF"/>
          <w:lang w:eastAsia="zh-CN"/>
        </w:rPr>
        <w:t>《国土空间总体规划（</w:t>
      </w:r>
      <w:r>
        <w:rPr>
          <w:rFonts w:hint="eastAsia" w:ascii="仿宋_GB2312" w:hAnsi="仿宋_GB2312" w:eastAsia="仿宋_GB2312" w:cs="仿宋_GB2312"/>
          <w:bCs/>
          <w:color w:val="auto"/>
          <w:sz w:val="32"/>
          <w:szCs w:val="32"/>
          <w:u w:val="none"/>
          <w:shd w:val="clear" w:color="auto" w:fill="FFFFFF"/>
          <w:lang w:val="en-US" w:eastAsia="zh-CN"/>
        </w:rPr>
        <w:t>2020-2035年</w:t>
      </w:r>
      <w:r>
        <w:rPr>
          <w:rFonts w:hint="eastAsia" w:ascii="仿宋_GB2312" w:hAnsi="仿宋_GB2312" w:eastAsia="仿宋_GB2312" w:cs="仿宋_GB2312"/>
          <w:bCs/>
          <w:color w:val="auto"/>
          <w:sz w:val="32"/>
          <w:szCs w:val="32"/>
          <w:u w:val="none"/>
          <w:shd w:val="clear" w:color="auto" w:fill="FFFFFF"/>
          <w:lang w:eastAsia="zh-CN"/>
        </w:rPr>
        <w:t>）（草案）》，推动我市科学有序统筹布局生态、生产、生活等功能空间。</w:t>
      </w:r>
      <w:r>
        <w:rPr>
          <w:rFonts w:hint="eastAsia" w:ascii="仿宋_GB2312" w:hAnsi="仿宋_GB2312" w:eastAsia="仿宋_GB2312" w:cs="仿宋_GB2312"/>
          <w:b/>
          <w:color w:val="auto"/>
          <w:sz w:val="32"/>
          <w:szCs w:val="32"/>
          <w:u w:val="none"/>
          <w:shd w:val="clear" w:color="auto" w:fill="FFFFFF"/>
          <w:lang w:eastAsia="zh-CN"/>
        </w:rPr>
        <w:t>加强</w:t>
      </w:r>
      <w:r>
        <w:rPr>
          <w:rFonts w:hint="eastAsia" w:ascii="仿宋_GB2312" w:hAnsi="仿宋_GB2312" w:eastAsia="仿宋_GB2312" w:cs="仿宋_GB2312"/>
          <w:b/>
          <w:color w:val="auto"/>
          <w:sz w:val="32"/>
          <w:szCs w:val="32"/>
          <w:u w:val="none"/>
          <w:shd w:val="clear" w:color="auto" w:fill="FFFFFF"/>
        </w:rPr>
        <w:t>民生保障监督</w:t>
      </w:r>
      <w:r>
        <w:rPr>
          <w:rFonts w:hint="eastAsia" w:ascii="仿宋_GB2312" w:hAnsi="仿宋_GB2312" w:eastAsia="仿宋_GB2312" w:cs="仿宋_GB2312"/>
          <w:bCs/>
          <w:color w:val="auto"/>
          <w:sz w:val="32"/>
          <w:szCs w:val="32"/>
          <w:u w:val="none"/>
          <w:shd w:val="clear" w:color="auto" w:fill="FFFFFF"/>
        </w:rPr>
        <w:t>。聚焦人民群众所思所盼所愿，</w:t>
      </w:r>
      <w:r>
        <w:rPr>
          <w:rFonts w:hint="eastAsia" w:ascii="仿宋_GB2312" w:hAnsi="仿宋_GB2312" w:eastAsia="仿宋_GB2312" w:cs="仿宋_GB2312"/>
          <w:bCs/>
          <w:color w:val="auto"/>
          <w:sz w:val="32"/>
          <w:szCs w:val="32"/>
          <w:u w:val="none"/>
          <w:shd w:val="clear" w:color="auto" w:fill="FFFFFF"/>
          <w:lang w:eastAsia="zh-CN"/>
        </w:rPr>
        <w:t>着力</w:t>
      </w:r>
      <w:r>
        <w:rPr>
          <w:rFonts w:hint="eastAsia" w:ascii="仿宋_GB2312" w:hAnsi="仿宋_GB2312" w:eastAsia="仿宋_GB2312" w:cs="仿宋_GB2312"/>
          <w:bCs/>
          <w:color w:val="auto"/>
          <w:sz w:val="32"/>
          <w:szCs w:val="32"/>
          <w:u w:val="none"/>
          <w:shd w:val="clear" w:color="auto" w:fill="FFFFFF"/>
        </w:rPr>
        <w:t>推动民生问题优先解决、民心工程加快实施、惠民政策更好落实，持续增进人民福祉。</w:t>
      </w:r>
      <w:r>
        <w:rPr>
          <w:rFonts w:hint="eastAsia" w:ascii="仿宋_GB2312" w:hAnsi="仿宋_GB2312" w:eastAsia="仿宋_GB2312" w:cs="仿宋_GB2312"/>
          <w:bCs/>
          <w:color w:val="auto"/>
          <w:sz w:val="32"/>
          <w:szCs w:val="32"/>
          <w:u w:val="none"/>
          <w:shd w:val="clear" w:color="auto" w:fill="FFFFFF"/>
          <w:lang w:eastAsia="zh-CN"/>
        </w:rPr>
        <w:t>对</w:t>
      </w:r>
      <w:r>
        <w:rPr>
          <w:rFonts w:hint="eastAsia" w:ascii="仿宋_GB2312" w:hAnsi="仿宋_GB2312" w:eastAsia="仿宋_GB2312" w:cs="仿宋_GB2312"/>
          <w:bCs/>
          <w:color w:val="auto"/>
          <w:sz w:val="32"/>
          <w:szCs w:val="32"/>
          <w:u w:val="none"/>
          <w:shd w:val="clear" w:color="auto" w:fill="FFFFFF"/>
        </w:rPr>
        <w:t>学校安全、城市市容和环境卫生、道路交通安全等法律法规实施情况进行执法检查</w:t>
      </w:r>
      <w:r>
        <w:rPr>
          <w:rFonts w:hint="eastAsia" w:ascii="仿宋_GB2312" w:hAnsi="仿宋_GB2312" w:eastAsia="仿宋_GB2312" w:cs="仿宋_GB2312"/>
          <w:bCs/>
          <w:color w:val="auto"/>
          <w:sz w:val="32"/>
          <w:szCs w:val="32"/>
          <w:u w:val="none"/>
          <w:shd w:val="clear" w:color="auto" w:fill="FFFFFF"/>
          <w:lang w:eastAsia="zh-CN"/>
        </w:rPr>
        <w:t>，</w:t>
      </w:r>
      <w:r>
        <w:rPr>
          <w:rFonts w:hint="eastAsia" w:ascii="仿宋_GB2312" w:hAnsi="仿宋_GB2312" w:eastAsia="仿宋_GB2312" w:cs="仿宋_GB2312"/>
          <w:bCs/>
          <w:color w:val="auto"/>
          <w:sz w:val="32"/>
          <w:szCs w:val="32"/>
          <w:u w:val="none"/>
          <w:shd w:val="clear" w:color="auto" w:fill="FFFFFF"/>
        </w:rPr>
        <w:t>对乡村建设、冰雪运动场馆运营、养老服务等工作进行视察调研</w:t>
      </w:r>
      <w:r>
        <w:rPr>
          <w:rFonts w:hint="eastAsia" w:ascii="仿宋_GB2312" w:hAnsi="仿宋_GB2312" w:eastAsia="仿宋_GB2312" w:cs="仿宋_GB2312"/>
          <w:bCs/>
          <w:color w:val="auto"/>
          <w:sz w:val="32"/>
          <w:szCs w:val="32"/>
          <w:u w:val="none"/>
          <w:shd w:val="clear" w:color="auto" w:fill="FFFFFF"/>
          <w:lang w:eastAsia="zh-CN"/>
        </w:rPr>
        <w:t>，着力解决人民群众需要解决的实际问题</w:t>
      </w:r>
      <w:r>
        <w:rPr>
          <w:rFonts w:hint="eastAsia" w:ascii="仿宋_GB2312" w:hAnsi="仿宋_GB2312" w:eastAsia="仿宋_GB2312" w:cs="仿宋_GB2312"/>
          <w:bCs/>
          <w:color w:val="auto"/>
          <w:sz w:val="32"/>
          <w:szCs w:val="32"/>
          <w:u w:val="none"/>
          <w:shd w:val="clear" w:color="auto" w:fill="FFFFFF"/>
        </w:rPr>
        <w:t>。</w:t>
      </w:r>
      <w:r>
        <w:rPr>
          <w:rFonts w:hint="eastAsia" w:ascii="仿宋_GB2312" w:hAnsi="仿宋_GB2312" w:eastAsia="仿宋_GB2312" w:cs="仿宋_GB2312"/>
          <w:color w:val="auto"/>
          <w:sz w:val="32"/>
          <w:szCs w:val="32"/>
          <w:u w:val="none"/>
          <w:lang w:eastAsia="zh-CN"/>
        </w:rPr>
        <w:t>加强对人大代表票决的</w:t>
      </w:r>
      <w:r>
        <w:rPr>
          <w:rFonts w:hint="eastAsia" w:ascii="仿宋_GB2312" w:hAnsi="仿宋_GB2312" w:eastAsia="仿宋_GB2312" w:cs="仿宋_GB2312"/>
          <w:color w:val="auto"/>
          <w:sz w:val="32"/>
          <w:szCs w:val="32"/>
          <w:u w:val="none"/>
        </w:rPr>
        <w:t>民生实事项目</w:t>
      </w:r>
      <w:r>
        <w:rPr>
          <w:rFonts w:hint="eastAsia" w:ascii="仿宋_GB2312" w:hAnsi="仿宋_GB2312" w:eastAsia="仿宋_GB2312" w:cs="仿宋_GB2312"/>
          <w:color w:val="auto"/>
          <w:sz w:val="32"/>
          <w:szCs w:val="32"/>
          <w:u w:val="none"/>
          <w:lang w:eastAsia="zh-CN"/>
        </w:rPr>
        <w:t>的监督推动</w:t>
      </w:r>
      <w:r>
        <w:rPr>
          <w:rFonts w:hint="eastAsia" w:ascii="仿宋_GB2312" w:hAnsi="仿宋_GB2312" w:eastAsia="仿宋_GB2312" w:cs="仿宋_GB2312"/>
          <w:color w:val="auto"/>
          <w:sz w:val="32"/>
          <w:szCs w:val="32"/>
          <w:u w:val="none"/>
        </w:rPr>
        <w:t>工作</w:t>
      </w:r>
      <w:r>
        <w:rPr>
          <w:rFonts w:hint="eastAsia" w:ascii="仿宋_GB2312" w:hAnsi="仿宋_GB2312" w:eastAsia="仿宋_GB2312" w:cs="仿宋_GB2312"/>
          <w:color w:val="auto"/>
          <w:sz w:val="32"/>
          <w:szCs w:val="32"/>
          <w:u w:val="none"/>
          <w:lang w:eastAsia="zh-CN"/>
        </w:rPr>
        <w:t>，并进行工作评议，确保民生实事项目顺利实施、高质量完成</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bCs/>
          <w:color w:val="auto"/>
          <w:sz w:val="32"/>
          <w:szCs w:val="32"/>
          <w:u w:val="none"/>
          <w:shd w:val="clear" w:color="auto" w:fill="FFFFFF"/>
        </w:rPr>
        <w:t>认真做好人民群众来信来访工作，维护人民群众合法权益。</w:t>
      </w:r>
      <w:r>
        <w:rPr>
          <w:rFonts w:hint="eastAsia" w:ascii="仿宋_GB2312" w:hAnsi="仿宋_GB2312" w:eastAsia="仿宋_GB2312" w:cs="仿宋_GB2312"/>
          <w:b/>
          <w:color w:val="auto"/>
          <w:sz w:val="32"/>
          <w:szCs w:val="32"/>
          <w:u w:val="none"/>
          <w:shd w:val="clear" w:color="auto" w:fill="FFFFFF"/>
          <w:lang w:eastAsia="zh-CN"/>
        </w:rPr>
        <w:t>加强执法</w:t>
      </w:r>
      <w:r>
        <w:rPr>
          <w:rFonts w:hint="eastAsia" w:ascii="仿宋_GB2312" w:hAnsi="仿宋_GB2312" w:eastAsia="仿宋_GB2312" w:cs="仿宋_GB2312"/>
          <w:b/>
          <w:color w:val="auto"/>
          <w:sz w:val="32"/>
          <w:szCs w:val="32"/>
          <w:u w:val="none"/>
          <w:shd w:val="clear" w:color="auto" w:fill="FFFFFF"/>
        </w:rPr>
        <w:t>司法监督</w:t>
      </w:r>
      <w:r>
        <w:rPr>
          <w:rFonts w:hint="eastAsia" w:ascii="仿宋_GB2312" w:hAnsi="仿宋_GB2312" w:eastAsia="仿宋_GB2312" w:cs="仿宋_GB2312"/>
          <w:bCs/>
          <w:color w:val="auto"/>
          <w:sz w:val="32"/>
          <w:szCs w:val="32"/>
          <w:u w:val="none"/>
          <w:shd w:val="clear" w:color="auto" w:fill="FFFFFF"/>
        </w:rPr>
        <w:t>。</w:t>
      </w:r>
      <w:bookmarkStart w:id="16" w:name="_Hlk93826220"/>
      <w:r>
        <w:rPr>
          <w:rFonts w:hint="eastAsia" w:ascii="仿宋_GB2312" w:hAnsi="仿宋_GB2312" w:eastAsia="仿宋_GB2312" w:cs="仿宋_GB2312"/>
          <w:bCs/>
          <w:color w:val="auto"/>
          <w:sz w:val="32"/>
          <w:szCs w:val="32"/>
          <w:u w:val="none"/>
          <w:shd w:val="clear" w:color="auto" w:fill="FFFFFF"/>
          <w:lang w:eastAsia="zh-CN"/>
        </w:rPr>
        <w:t>听取审议法治政府建设的报告</w:t>
      </w:r>
      <w:r>
        <w:rPr>
          <w:rFonts w:hint="eastAsia" w:ascii="仿宋_GB2312" w:hAnsi="仿宋_GB2312" w:eastAsia="仿宋_GB2312" w:cs="仿宋_GB2312"/>
          <w:bCs/>
          <w:color w:val="auto"/>
          <w:sz w:val="32"/>
          <w:szCs w:val="32"/>
          <w:u w:val="none"/>
          <w:shd w:val="clear" w:color="auto" w:fill="FFFFFF"/>
        </w:rPr>
        <w:t>，探索开展人民警察履职评议</w:t>
      </w:r>
      <w:r>
        <w:rPr>
          <w:rFonts w:hint="eastAsia" w:ascii="仿宋_GB2312" w:hAnsi="仿宋_GB2312" w:eastAsia="仿宋_GB2312" w:cs="仿宋_GB2312"/>
          <w:bCs/>
          <w:color w:val="auto"/>
          <w:sz w:val="32"/>
          <w:szCs w:val="32"/>
          <w:u w:val="none"/>
          <w:shd w:val="clear" w:color="auto" w:fill="FFFFFF"/>
          <w:lang w:eastAsia="zh-CN"/>
        </w:rPr>
        <w:t>，促进依法行政、严格执法。</w:t>
      </w:r>
      <w:r>
        <w:rPr>
          <w:rFonts w:hint="eastAsia" w:ascii="仿宋_GB2312" w:hAnsi="仿宋_GB2312" w:eastAsia="仿宋_GB2312" w:cs="仿宋_GB2312"/>
          <w:color w:val="auto"/>
          <w:sz w:val="32"/>
          <w:szCs w:val="32"/>
          <w:u w:val="none"/>
        </w:rPr>
        <w:t>对</w:t>
      </w:r>
      <w:r>
        <w:rPr>
          <w:rFonts w:hint="eastAsia" w:ascii="仿宋_GB2312" w:hAnsi="仿宋_GB2312" w:eastAsia="仿宋_GB2312" w:cs="仿宋_GB2312"/>
          <w:bCs/>
          <w:color w:val="auto"/>
          <w:sz w:val="32"/>
          <w:szCs w:val="32"/>
          <w:u w:val="none"/>
          <w:shd w:val="clear" w:color="auto" w:fill="FFFFFF"/>
        </w:rPr>
        <w:t>法院民事执行</w:t>
      </w:r>
      <w:r>
        <w:rPr>
          <w:rFonts w:hint="eastAsia" w:ascii="仿宋_GB2312" w:hAnsi="仿宋_GB2312" w:eastAsia="仿宋_GB2312" w:cs="仿宋_GB2312"/>
          <w:bCs/>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rPr>
        <w:t>检察机关落实认罪认罚从宽制度</w:t>
      </w:r>
      <w:r>
        <w:rPr>
          <w:rFonts w:hint="eastAsia" w:ascii="仿宋_GB2312" w:hAnsi="仿宋_GB2312" w:eastAsia="仿宋_GB2312" w:cs="仿宋_GB2312"/>
          <w:bCs/>
          <w:color w:val="auto"/>
          <w:sz w:val="32"/>
          <w:szCs w:val="32"/>
          <w:u w:val="none"/>
          <w:shd w:val="clear" w:color="auto" w:fill="FFFFFF"/>
          <w:lang w:eastAsia="zh-CN"/>
        </w:rPr>
        <w:t>等</w:t>
      </w:r>
      <w:r>
        <w:rPr>
          <w:rFonts w:hint="eastAsia" w:ascii="仿宋_GB2312" w:hAnsi="仿宋_GB2312" w:eastAsia="仿宋_GB2312" w:cs="仿宋_GB2312"/>
          <w:color w:val="auto"/>
          <w:sz w:val="32"/>
          <w:szCs w:val="32"/>
          <w:u w:val="none"/>
        </w:rPr>
        <w:t>工作开展情况</w:t>
      </w:r>
      <w:r>
        <w:rPr>
          <w:rFonts w:hint="eastAsia" w:ascii="仿宋_GB2312" w:hAnsi="仿宋_GB2312" w:eastAsia="仿宋_GB2312" w:cs="仿宋_GB2312"/>
          <w:bCs/>
          <w:color w:val="auto"/>
          <w:sz w:val="32"/>
          <w:szCs w:val="32"/>
          <w:u w:val="none"/>
          <w:shd w:val="clear" w:color="auto" w:fill="FFFFFF"/>
        </w:rPr>
        <w:t>进行视察调研</w:t>
      </w:r>
      <w:r>
        <w:rPr>
          <w:rFonts w:hint="eastAsia" w:ascii="仿宋_GB2312" w:hAnsi="仿宋_GB2312" w:eastAsia="仿宋_GB2312" w:cs="仿宋_GB2312"/>
          <w:color w:val="auto"/>
          <w:sz w:val="32"/>
          <w:szCs w:val="32"/>
          <w:u w:val="none"/>
        </w:rPr>
        <w:t>，</w:t>
      </w:r>
      <w:bookmarkEnd w:id="16"/>
      <w:r>
        <w:rPr>
          <w:rFonts w:hint="eastAsia" w:ascii="仿宋_GB2312" w:hAnsi="仿宋_GB2312" w:eastAsia="仿宋_GB2312" w:cs="仿宋_GB2312"/>
          <w:bCs/>
          <w:color w:val="auto"/>
          <w:sz w:val="32"/>
          <w:szCs w:val="32"/>
          <w:u w:val="none"/>
          <w:shd w:val="clear" w:color="auto" w:fill="FFFFFF"/>
        </w:rPr>
        <w:t>继续开展法官检察官履职评议</w:t>
      </w:r>
      <w:r>
        <w:rPr>
          <w:rFonts w:hint="eastAsia" w:ascii="仿宋_GB2312" w:hAnsi="仿宋_GB2312" w:eastAsia="仿宋_GB2312" w:cs="仿宋_GB2312"/>
          <w:bCs/>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lang w:eastAsia="zh-CN"/>
        </w:rPr>
        <w:t>促进公正司法</w:t>
      </w:r>
      <w:r>
        <w:rPr>
          <w:rFonts w:hint="eastAsia" w:ascii="仿宋_GB2312" w:hAnsi="仿宋_GB2312" w:eastAsia="仿宋_GB2312" w:cs="仿宋_GB2312"/>
          <w:bCs/>
          <w:color w:val="auto"/>
          <w:sz w:val="32"/>
          <w:szCs w:val="32"/>
          <w:u w:val="none"/>
          <w:shd w:val="clear" w:color="auto" w:fill="FFFFFF"/>
        </w:rPr>
        <w:t>。</w:t>
      </w:r>
    </w:p>
    <w:p>
      <w:pPr>
        <w:pStyle w:val="2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绩效指标：监督工作任务完成率100%。</w:t>
      </w:r>
    </w:p>
    <w:p>
      <w:pPr>
        <w:pStyle w:val="2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）人大会议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按照《宪法》、《地方组织法》的规定，按时召开人大会议，保证会议顺利召开。规范会议议程，提高会议质量，提出代表建议、议案，充分发挥人大代表和常委会机关作用。</w:t>
      </w:r>
      <w:r>
        <w:rPr>
          <w:rFonts w:hint="eastAsia" w:ascii="仿宋_GB2312" w:hAnsi="仿宋_GB2312" w:eastAsia="仿宋_GB2312" w:cs="仿宋_GB2312"/>
          <w:b/>
          <w:sz w:val="32"/>
          <w:szCs w:val="32"/>
        </w:rPr>
        <w:t>组织召开人代会。</w:t>
      </w:r>
      <w:r>
        <w:rPr>
          <w:rFonts w:hint="eastAsia" w:ascii="仿宋_GB2312" w:hAnsi="仿宋_GB2312" w:eastAsia="仿宋_GB2312" w:cs="仿宋_GB2312"/>
          <w:sz w:val="32"/>
          <w:szCs w:val="32"/>
        </w:rPr>
        <w:t>按照法律规定，承德市人民代表大会常务委员会每年至少召集一次人民代表大会。人代会属一类会议，出席会议的有12个代表团，共379名市级人大代表，列席人员包括驻市的全国、省人大代表，不是人大代表的部分市政府组成人员，各县、市人民法院院长、检察长，全体政协委员等。</w:t>
      </w:r>
      <w:r>
        <w:rPr>
          <w:rFonts w:hint="eastAsia" w:ascii="仿宋_GB2312" w:hAnsi="仿宋_GB2312" w:eastAsia="仿宋_GB2312" w:cs="仿宋_GB2312"/>
          <w:b/>
          <w:sz w:val="32"/>
          <w:szCs w:val="32"/>
        </w:rPr>
        <w:t>组织召开常委会</w:t>
      </w:r>
      <w:r>
        <w:rPr>
          <w:rFonts w:hint="eastAsia" w:ascii="仿宋_GB2312" w:hAnsi="仿宋_GB2312" w:eastAsia="仿宋_GB2312" w:cs="仿宋_GB2312"/>
          <w:sz w:val="32"/>
          <w:szCs w:val="32"/>
        </w:rPr>
        <w:t>。按照法律规定，地方各级人民代表大会每两个月至少召开一次常委会。参加常委会会议的人员为人大常委会委员41人、列席会议的有“一府一委两院”主要负责人、各县市人大常委会主任、驻机关纪检组长、机关全体副处级以上干部和部分机关工作人员。</w:t>
      </w:r>
      <w:r>
        <w:rPr>
          <w:rFonts w:hint="eastAsia" w:ascii="仿宋_GB2312" w:hAnsi="仿宋_GB2312" w:eastAsia="仿宋_GB2312" w:cs="仿宋_GB2312"/>
          <w:b/>
          <w:sz w:val="32"/>
          <w:szCs w:val="32"/>
        </w:rPr>
        <w:t>组织召开主任会议。</w:t>
      </w:r>
      <w:r>
        <w:rPr>
          <w:rFonts w:hint="eastAsia" w:ascii="仿宋_GB2312" w:hAnsi="仿宋_GB2312" w:eastAsia="仿宋_GB2312" w:cs="仿宋_GB2312"/>
          <w:sz w:val="32"/>
          <w:szCs w:val="32"/>
        </w:rPr>
        <w:t>按照法律的相关规定，每次常委会召开前至少要召开一次主任会议，出席主任议的人员由常委会主任、副主任、秘书长，列席会议的人员有驻机关纪检组长、机关各工作委员会主要负责人。</w:t>
      </w:r>
    </w:p>
    <w:p>
      <w:pPr>
        <w:pStyle w:val="2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绩效指标：会议召开率100%，会议任务完成率100%。 </w:t>
      </w:r>
    </w:p>
    <w:p>
      <w:pPr>
        <w:pStyle w:val="2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）选举任免工作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auto"/>
          <w:sz w:val="32"/>
          <w:szCs w:val="32"/>
          <w:u w:val="none"/>
          <w:shd w:val="clear" w:color="auto" w:fill="FFFFFF"/>
          <w:lang w:val="en-US" w:eastAsia="zh-CN"/>
        </w:rPr>
      </w:pPr>
      <w:r>
        <w:rPr>
          <w:rFonts w:hint="eastAsia" w:ascii="仿宋_GB2312" w:hAnsi="仿宋_GB2312" w:eastAsia="仿宋_GB2312" w:cs="仿宋_GB2312"/>
          <w:sz w:val="32"/>
          <w:szCs w:val="32"/>
        </w:rPr>
        <w:t>绩效目标：</w:t>
      </w:r>
      <w:r>
        <w:rPr>
          <w:rFonts w:hint="eastAsia" w:ascii="仿宋_GB2312" w:hAnsi="仿宋_GB2312" w:eastAsia="仿宋_GB2312" w:cs="仿宋_GB2312"/>
          <w:b/>
          <w:color w:val="auto"/>
          <w:kern w:val="0"/>
          <w:sz w:val="32"/>
          <w:szCs w:val="32"/>
          <w:u w:val="none"/>
          <w:lang w:val="zh-CN"/>
        </w:rPr>
        <w:t>把牢正确政治方向</w:t>
      </w:r>
      <w:r>
        <w:rPr>
          <w:rFonts w:hint="eastAsia" w:ascii="仿宋_GB2312" w:hAnsi="仿宋_GB2312" w:eastAsia="仿宋_GB2312" w:cs="仿宋_GB2312"/>
          <w:bCs/>
          <w:color w:val="auto"/>
          <w:sz w:val="32"/>
          <w:szCs w:val="32"/>
          <w:u w:val="none"/>
          <w:shd w:val="clear" w:color="auto" w:fill="FFFFFF"/>
        </w:rPr>
        <w:t>。自觉做习近平新时代中国特色社会主义思想的坚定信仰者和忠实实践者，深刻认识“两个确</w:t>
      </w:r>
      <w:r>
        <w:rPr>
          <w:rFonts w:hint="eastAsia" w:ascii="仿宋_GB2312" w:hAnsi="仿宋_GB2312" w:eastAsia="仿宋_GB2312" w:cs="仿宋_GB2312"/>
          <w:bCs/>
          <w:color w:val="auto"/>
          <w:sz w:val="32"/>
          <w:szCs w:val="32"/>
          <w:u w:val="none"/>
          <w:shd w:val="clear" w:color="auto" w:fill="FFFFFF"/>
          <w:lang w:eastAsia="zh-CN"/>
        </w:rPr>
        <w:t>立</w:t>
      </w:r>
      <w:r>
        <w:rPr>
          <w:rFonts w:hint="eastAsia" w:ascii="仿宋_GB2312" w:hAnsi="仿宋_GB2312" w:eastAsia="仿宋_GB2312" w:cs="仿宋_GB2312"/>
          <w:bCs/>
          <w:color w:val="auto"/>
          <w:sz w:val="32"/>
          <w:szCs w:val="32"/>
          <w:u w:val="none"/>
          <w:shd w:val="clear" w:color="auto" w:fill="FFFFFF"/>
        </w:rPr>
        <w:t>”的决定性意义，坚定不移用</w:t>
      </w:r>
      <w:r>
        <w:rPr>
          <w:rFonts w:hint="eastAsia" w:ascii="仿宋_GB2312" w:hAnsi="仿宋_GB2312" w:eastAsia="仿宋_GB2312" w:cs="仿宋_GB2312"/>
          <w:color w:val="auto"/>
          <w:sz w:val="32"/>
          <w:szCs w:val="32"/>
          <w:u w:val="none"/>
        </w:rPr>
        <w:t>“两个确立”</w:t>
      </w:r>
      <w:r>
        <w:rPr>
          <w:rFonts w:hint="eastAsia" w:ascii="仿宋_GB2312" w:hAnsi="仿宋_GB2312" w:eastAsia="仿宋_GB2312" w:cs="仿宋_GB2312"/>
          <w:bCs/>
          <w:color w:val="auto"/>
          <w:sz w:val="32"/>
          <w:szCs w:val="32"/>
          <w:u w:val="none"/>
          <w:shd w:val="clear" w:color="auto" w:fill="FFFFFF"/>
        </w:rPr>
        <w:t>统一思想、统一意志、统一行动，</w:t>
      </w:r>
      <w:r>
        <w:rPr>
          <w:rFonts w:hint="eastAsia" w:ascii="仿宋_GB2312" w:hAnsi="仿宋_GB2312" w:eastAsia="仿宋_GB2312" w:cs="仿宋_GB2312"/>
          <w:color w:val="auto"/>
          <w:sz w:val="32"/>
          <w:szCs w:val="32"/>
          <w:u w:val="none"/>
        </w:rPr>
        <w:t>树牢“四个意识”、坚定“四个自信”、做到“两个维护”，</w:t>
      </w:r>
      <w:r>
        <w:rPr>
          <w:rFonts w:hint="eastAsia" w:ascii="仿宋_GB2312" w:hAnsi="仿宋_GB2312" w:eastAsia="仿宋_GB2312" w:cs="仿宋_GB2312"/>
          <w:bCs/>
          <w:color w:val="auto"/>
          <w:sz w:val="32"/>
          <w:szCs w:val="32"/>
          <w:u w:val="none"/>
          <w:shd w:val="clear" w:color="auto" w:fill="FFFFFF"/>
        </w:rPr>
        <w:t>毫不动摇忠诚核心、维护核心、紧跟核心、捍卫核心，坚决同以习近平同志为核心的党中央保持高度一致，坚定不移沿着中国特色社会主义道路</w:t>
      </w:r>
      <w:r>
        <w:rPr>
          <w:rFonts w:hint="eastAsia" w:ascii="仿宋_GB2312" w:hAnsi="仿宋_GB2312" w:eastAsia="仿宋_GB2312" w:cs="仿宋_GB2312"/>
          <w:bCs/>
          <w:color w:val="auto"/>
          <w:sz w:val="32"/>
          <w:szCs w:val="32"/>
          <w:u w:val="none"/>
          <w:shd w:val="clear" w:color="auto" w:fill="FFFFFF"/>
          <w:lang w:eastAsia="zh-CN"/>
        </w:rPr>
        <w:t>砥砺前行</w:t>
      </w:r>
      <w:r>
        <w:rPr>
          <w:rFonts w:hint="eastAsia" w:ascii="仿宋_GB2312" w:hAnsi="仿宋_GB2312" w:eastAsia="仿宋_GB2312" w:cs="仿宋_GB2312"/>
          <w:bCs/>
          <w:color w:val="auto"/>
          <w:sz w:val="32"/>
          <w:szCs w:val="32"/>
          <w:u w:val="none"/>
          <w:shd w:val="clear" w:color="auto" w:fill="FFFFFF"/>
        </w:rPr>
        <w:t>。</w:t>
      </w:r>
      <w:r>
        <w:rPr>
          <w:rFonts w:hint="eastAsia" w:ascii="仿宋_GB2312" w:hAnsi="仿宋_GB2312" w:eastAsia="仿宋_GB2312" w:cs="仿宋_GB2312"/>
          <w:b/>
          <w:color w:val="auto"/>
          <w:sz w:val="32"/>
          <w:szCs w:val="32"/>
          <w:u w:val="none"/>
          <w:shd w:val="clear" w:color="auto" w:fill="FFFFFF"/>
        </w:rPr>
        <w:t>持续强化理论武装</w:t>
      </w:r>
      <w:r>
        <w:rPr>
          <w:rFonts w:hint="eastAsia" w:ascii="仿宋_GB2312" w:hAnsi="仿宋_GB2312" w:eastAsia="仿宋_GB2312" w:cs="仿宋_GB2312"/>
          <w:bCs/>
          <w:color w:val="auto"/>
          <w:sz w:val="32"/>
          <w:szCs w:val="32"/>
          <w:u w:val="none"/>
          <w:shd w:val="clear" w:color="auto" w:fill="FFFFFF"/>
        </w:rPr>
        <w:t>。持之以恒学懂弄通做实</w:t>
      </w:r>
      <w:r>
        <w:rPr>
          <w:rFonts w:hint="eastAsia" w:ascii="仿宋_GB2312" w:hAnsi="仿宋_GB2312" w:eastAsia="仿宋_GB2312" w:cs="仿宋_GB2312"/>
          <w:color w:val="auto"/>
          <w:sz w:val="32"/>
          <w:szCs w:val="32"/>
          <w:u w:val="none"/>
        </w:rPr>
        <w:t>习近平新时代中国特色社会主义思想，与学习贯彻习近平法治思想、习近平总书记关于坚持和完善人民代表大会制度的重要思想、习近平总书记在中央人大工作会议上的重要讲话和视察承德重要讲话指示精神贯通起来，</w:t>
      </w:r>
      <w:r>
        <w:rPr>
          <w:rFonts w:hint="eastAsia" w:ascii="仿宋_GB2312" w:hAnsi="仿宋_GB2312" w:eastAsia="仿宋_GB2312" w:cs="仿宋_GB2312"/>
          <w:color w:val="auto"/>
          <w:sz w:val="32"/>
          <w:szCs w:val="32"/>
          <w:u w:val="none"/>
          <w:lang w:eastAsia="zh-CN"/>
        </w:rPr>
        <w:t>集中组织学习、宣传贯彻党的二十大精神，</w:t>
      </w:r>
      <w:r>
        <w:rPr>
          <w:rFonts w:hint="eastAsia" w:ascii="仿宋_GB2312" w:hAnsi="仿宋_GB2312" w:eastAsia="仿宋_GB2312" w:cs="仿宋_GB2312"/>
          <w:color w:val="auto"/>
          <w:sz w:val="32"/>
          <w:szCs w:val="32"/>
          <w:u w:val="none"/>
        </w:rPr>
        <w:t>自觉主动学，及时跟进学，联系实际学，笃信笃行学，切实把党的创新理论转化为推动人大工作高质量发展的强大力量，以理论清醒保持政治坚定。</w:t>
      </w:r>
      <w:r>
        <w:rPr>
          <w:rFonts w:hint="eastAsia" w:ascii="仿宋_GB2312" w:hAnsi="仿宋_GB2312" w:eastAsia="仿宋_GB2312" w:cs="仿宋_GB2312"/>
          <w:b/>
          <w:bCs/>
          <w:color w:val="auto"/>
          <w:sz w:val="32"/>
          <w:szCs w:val="32"/>
          <w:u w:val="none"/>
        </w:rPr>
        <w:t>围绕中心依法履职</w:t>
      </w:r>
      <w:r>
        <w:rPr>
          <w:rFonts w:hint="eastAsia" w:ascii="仿宋_GB2312" w:hAnsi="仿宋_GB2312" w:eastAsia="仿宋_GB2312" w:cs="仿宋_GB2312"/>
          <w:bCs/>
          <w:color w:val="auto"/>
          <w:sz w:val="32"/>
          <w:szCs w:val="32"/>
          <w:u w:val="none"/>
        </w:rPr>
        <w:t>。</w:t>
      </w:r>
      <w:r>
        <w:rPr>
          <w:rFonts w:hint="eastAsia" w:ascii="仿宋_GB2312" w:hAnsi="仿宋_GB2312" w:eastAsia="仿宋_GB2312" w:cs="仿宋_GB2312"/>
          <w:color w:val="auto"/>
          <w:sz w:val="32"/>
          <w:szCs w:val="32"/>
          <w:u w:val="none"/>
        </w:rPr>
        <w:t>紧紧围绕党中央</w:t>
      </w:r>
      <w:r>
        <w:rPr>
          <w:rFonts w:hint="eastAsia" w:ascii="仿宋_GB2312" w:hAnsi="仿宋_GB2312" w:eastAsia="仿宋_GB2312" w:cs="仿宋_GB2312"/>
          <w:color w:val="auto"/>
          <w:sz w:val="32"/>
          <w:szCs w:val="32"/>
          <w:u w:val="none"/>
          <w:lang w:eastAsia="zh-CN"/>
        </w:rPr>
        <w:t>决策部署</w:t>
      </w:r>
      <w:r>
        <w:rPr>
          <w:rFonts w:hint="eastAsia" w:ascii="仿宋_GB2312" w:hAnsi="仿宋_GB2312" w:eastAsia="仿宋_GB2312" w:cs="仿宋_GB2312"/>
          <w:color w:val="auto"/>
          <w:sz w:val="32"/>
          <w:szCs w:val="32"/>
          <w:u w:val="none"/>
        </w:rPr>
        <w:t>和省委、市委</w:t>
      </w:r>
      <w:r>
        <w:rPr>
          <w:rFonts w:hint="eastAsia" w:ascii="仿宋_GB2312" w:hAnsi="仿宋_GB2312" w:eastAsia="仿宋_GB2312" w:cs="仿宋_GB2312"/>
          <w:color w:val="auto"/>
          <w:sz w:val="32"/>
          <w:szCs w:val="32"/>
          <w:u w:val="none"/>
          <w:lang w:eastAsia="zh-CN"/>
        </w:rPr>
        <w:t>工作要求</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聚焦推进“四个再建功立业”、实现“二次创业”和开展“三统筹三扩大四创建”活动目标任务</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践行“承德发展、人大尽责”理念，</w:t>
      </w:r>
      <w:r>
        <w:rPr>
          <w:rFonts w:hint="eastAsia" w:ascii="仿宋_GB2312" w:hAnsi="仿宋_GB2312" w:eastAsia="仿宋_GB2312" w:cs="仿宋_GB2312"/>
          <w:color w:val="auto"/>
          <w:sz w:val="32"/>
          <w:szCs w:val="32"/>
          <w:u w:val="none"/>
        </w:rPr>
        <w:t>定大事、议要事、督难事、办实事，使党的主张通过法定程序成为国家意志和人民意志，更好把制度优势转化为治理效能。凡是重大问题、重要事项、重点工作都要向市委请示报告</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切实把市委要求转化为人大行动。协助做好市委人大工作会议筹备</w:t>
      </w:r>
      <w:r>
        <w:rPr>
          <w:rFonts w:hint="eastAsia" w:ascii="仿宋_GB2312" w:hAnsi="仿宋_GB2312" w:eastAsia="仿宋_GB2312" w:cs="仿宋_GB2312"/>
          <w:color w:val="auto"/>
          <w:sz w:val="32"/>
          <w:szCs w:val="32"/>
          <w:u w:val="none"/>
          <w:lang w:eastAsia="zh-CN"/>
        </w:rPr>
        <w:t>工作，全力抓好会议精神的学习宣传贯彻落实，推动中央和省委人大工作会议精神在承德见行见效、落地落实。</w:t>
      </w:r>
      <w:r>
        <w:rPr>
          <w:rFonts w:hint="eastAsia" w:ascii="仿宋_GB2312" w:hAnsi="仿宋_GB2312" w:eastAsia="仿宋_GB2312" w:cs="仿宋_GB2312"/>
          <w:b/>
          <w:bCs/>
          <w:color w:val="auto"/>
          <w:sz w:val="32"/>
          <w:szCs w:val="32"/>
          <w:u w:val="none"/>
        </w:rPr>
        <w:t>发展全过程人民民主</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bCs/>
          <w:color w:val="auto"/>
          <w:sz w:val="32"/>
          <w:szCs w:val="32"/>
          <w:u w:val="none"/>
          <w:shd w:val="clear" w:color="auto" w:fill="FFFFFF"/>
        </w:rPr>
        <w:t>深刻认识和把握发展全过程人民民主的本质要求，运用好法治方法、制度优势、代表力量，扩大人民有序参与，保障人民当家作主。对标新修订的全国人大组织法和议事规则，及时修订完善市人大组织制度、会议制度和运行程序，自觉把人民意志体现到立法工作全链条、监督工作全过程、代表工作各环节。健全完善人大民主民意表达平台和载体，做好人大协商、立法协商，通过调研、座谈、论证、咨询、立法联系点、代表家站室等方式和渠道，</w:t>
      </w:r>
      <w:r>
        <w:rPr>
          <w:rFonts w:hint="eastAsia" w:ascii="仿宋_GB2312" w:hAnsi="仿宋_GB2312" w:eastAsia="仿宋_GB2312" w:cs="仿宋_GB2312"/>
          <w:bCs/>
          <w:color w:val="auto"/>
          <w:sz w:val="32"/>
          <w:szCs w:val="32"/>
          <w:u w:val="none"/>
          <w:shd w:val="clear" w:color="auto" w:fill="FFFFFF"/>
          <w:lang w:eastAsia="zh-CN"/>
        </w:rPr>
        <w:t>确保党委和政府在决策、执行、监督落实等环节都能听到来自人民的声音，都有人民的参与。</w:t>
      </w:r>
      <w:r>
        <w:rPr>
          <w:rFonts w:hint="eastAsia" w:ascii="仿宋_GB2312" w:hAnsi="仿宋_GB2312" w:eastAsia="仿宋_GB2312" w:cs="仿宋_GB2312"/>
          <w:b/>
          <w:color w:val="auto"/>
          <w:sz w:val="32"/>
          <w:szCs w:val="32"/>
          <w:u w:val="none"/>
          <w:shd w:val="clear" w:color="auto" w:fill="FFFFFF"/>
        </w:rPr>
        <w:t>依法做好人事任免工作</w:t>
      </w:r>
      <w:r>
        <w:rPr>
          <w:rFonts w:hint="eastAsia" w:ascii="仿宋_GB2312" w:hAnsi="仿宋_GB2312" w:eastAsia="仿宋_GB2312" w:cs="仿宋_GB2312"/>
          <w:bCs/>
          <w:color w:val="auto"/>
          <w:sz w:val="32"/>
          <w:szCs w:val="32"/>
          <w:u w:val="none"/>
          <w:shd w:val="clear" w:color="auto" w:fill="FFFFFF"/>
        </w:rPr>
        <w:t>。</w:t>
      </w:r>
      <w:r>
        <w:rPr>
          <w:rFonts w:hint="eastAsia" w:ascii="仿宋_GB2312" w:hAnsi="仿宋_GB2312" w:eastAsia="仿宋_GB2312" w:cs="仿宋_GB2312"/>
          <w:color w:val="auto"/>
          <w:sz w:val="32"/>
          <w:szCs w:val="32"/>
          <w:u w:val="none"/>
        </w:rPr>
        <w:t>坚持党管干部与人大依法任免相统一，充分发扬民主，严格依法办事，确保实现市委意图。坚持拟任职人员供职发言、颁发任命书和向宪法宣誓等制度。</w:t>
      </w:r>
      <w:r>
        <w:rPr>
          <w:rFonts w:hint="eastAsia" w:ascii="仿宋_GB2312" w:hAnsi="仿宋_GB2312" w:eastAsia="仿宋_GB2312" w:cs="仿宋_GB2312"/>
          <w:bCs/>
          <w:color w:val="auto"/>
          <w:sz w:val="32"/>
          <w:szCs w:val="32"/>
          <w:u w:val="none"/>
        </w:rPr>
        <w:t>适时修订</w:t>
      </w:r>
      <w:r>
        <w:rPr>
          <w:rFonts w:hint="eastAsia" w:ascii="仿宋_GB2312" w:hAnsi="仿宋_GB2312" w:eastAsia="仿宋_GB2312" w:cs="仿宋_GB2312"/>
          <w:color w:val="auto"/>
          <w:sz w:val="32"/>
          <w:szCs w:val="32"/>
          <w:u w:val="none"/>
        </w:rPr>
        <w:t>《承德市人大常委会人事任免办法》。</w:t>
      </w:r>
      <w:r>
        <w:rPr>
          <w:rFonts w:hint="eastAsia" w:ascii="仿宋_GB2312" w:hAnsi="仿宋_GB2312" w:eastAsia="仿宋_GB2312" w:cs="仿宋_GB2312"/>
          <w:color w:val="auto"/>
          <w:sz w:val="32"/>
          <w:szCs w:val="32"/>
          <w:u w:val="none"/>
          <w:lang w:eastAsia="zh-CN"/>
        </w:rPr>
        <w:t>研究制定常委会任命人员监督办法，稳步实施常委会任命人员任后监督。</w:t>
      </w:r>
    </w:p>
    <w:p>
      <w:pPr>
        <w:pStyle w:val="2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绩效指标：工作完成率100%。</w:t>
      </w:r>
    </w:p>
    <w:p>
      <w:pPr>
        <w:pStyle w:val="2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）人大代表工作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27" w:firstLineChars="196"/>
        <w:textAlignment w:val="auto"/>
        <w:rPr>
          <w:rFonts w:hint="eastAsia" w:ascii="仿宋_GB2312" w:hAnsi="仿宋_GB2312" w:eastAsia="仿宋_GB2312" w:cs="仿宋_GB2312"/>
          <w:bCs/>
          <w:color w:val="auto"/>
          <w:sz w:val="32"/>
          <w:szCs w:val="32"/>
          <w:u w:val="none"/>
          <w:shd w:val="clear" w:color="auto" w:fill="FFFFFF"/>
          <w:lang w:val="en-US" w:eastAsia="zh-CN"/>
        </w:rPr>
      </w:pPr>
      <w:r>
        <w:rPr>
          <w:rFonts w:hint="eastAsia" w:ascii="仿宋_GB2312" w:hAnsi="仿宋_GB2312" w:eastAsia="仿宋_GB2312" w:cs="仿宋_GB2312"/>
          <w:sz w:val="32"/>
          <w:szCs w:val="32"/>
        </w:rPr>
        <w:t>绩效目标：</w:t>
      </w:r>
      <w:r>
        <w:rPr>
          <w:rFonts w:hint="eastAsia" w:ascii="仿宋_GB2312" w:hAnsi="仿宋_GB2312" w:eastAsia="仿宋_GB2312" w:cs="仿宋_GB2312"/>
          <w:b/>
          <w:color w:val="auto"/>
          <w:sz w:val="32"/>
          <w:szCs w:val="32"/>
          <w:u w:val="none"/>
          <w:shd w:val="clear" w:color="auto" w:fill="FFFFFF"/>
        </w:rPr>
        <w:t>搭建和拓展代表履职平台</w:t>
      </w:r>
      <w:r>
        <w:rPr>
          <w:rFonts w:hint="eastAsia" w:ascii="仿宋_GB2312" w:hAnsi="仿宋_GB2312" w:eastAsia="仿宋_GB2312" w:cs="仿宋_GB2312"/>
          <w:bCs/>
          <w:color w:val="auto"/>
          <w:sz w:val="32"/>
          <w:szCs w:val="32"/>
          <w:u w:val="none"/>
          <w:shd w:val="clear" w:color="auto" w:fill="FFFFFF"/>
        </w:rPr>
        <w:t>。坚持“双联三带”帮联带动、代表列席常委会会议、列席代表座谈会等制度机制，密切联系人民群众，畅通民意表达渠道。加强</w:t>
      </w:r>
      <w:r>
        <w:rPr>
          <w:rFonts w:hint="eastAsia" w:ascii="仿宋_GB2312" w:hAnsi="仿宋_GB2312" w:eastAsia="仿宋_GB2312" w:cs="仿宋_GB2312"/>
          <w:bCs/>
          <w:color w:val="auto"/>
          <w:sz w:val="32"/>
          <w:szCs w:val="32"/>
          <w:u w:val="none"/>
          <w:shd w:val="clear" w:color="auto" w:fill="FFFFFF"/>
          <w:lang w:eastAsia="zh-CN"/>
        </w:rPr>
        <w:t>代</w:t>
      </w:r>
      <w:r>
        <w:rPr>
          <w:rFonts w:hint="eastAsia" w:ascii="仿宋_GB2312" w:hAnsi="仿宋_GB2312" w:eastAsia="仿宋_GB2312" w:cs="仿宋_GB2312"/>
          <w:bCs/>
          <w:color w:val="auto"/>
          <w:sz w:val="32"/>
          <w:szCs w:val="32"/>
          <w:u w:val="none"/>
          <w:shd w:val="clear" w:color="auto" w:fill="FFFFFF"/>
        </w:rPr>
        <w:t>表阵地建设，</w:t>
      </w:r>
      <w:r>
        <w:rPr>
          <w:rFonts w:hint="eastAsia" w:ascii="仿宋_GB2312" w:hAnsi="仿宋_GB2312" w:eastAsia="仿宋_GB2312" w:cs="仿宋_GB2312"/>
          <w:bCs/>
          <w:color w:val="auto"/>
          <w:sz w:val="32"/>
          <w:szCs w:val="32"/>
          <w:shd w:val="clear" w:color="auto" w:fill="FFFFFF"/>
        </w:rPr>
        <w:t>推进代表家站提档升级</w:t>
      </w:r>
      <w:r>
        <w:rPr>
          <w:rFonts w:hint="eastAsia" w:ascii="仿宋_GB2312" w:hAnsi="仿宋_GB2312" w:eastAsia="仿宋_GB2312" w:cs="仿宋_GB2312"/>
          <w:bCs/>
          <w:color w:val="auto"/>
          <w:sz w:val="32"/>
          <w:szCs w:val="32"/>
          <w:shd w:val="clear" w:color="auto" w:fill="FFFFFF"/>
          <w:lang w:eastAsia="zh-CN"/>
        </w:rPr>
        <w:t>，</w:t>
      </w:r>
      <w:r>
        <w:rPr>
          <w:rFonts w:hint="eastAsia" w:ascii="仿宋_GB2312" w:hAnsi="仿宋_GB2312" w:eastAsia="仿宋_GB2312" w:cs="仿宋_GB2312"/>
          <w:bCs/>
          <w:color w:val="auto"/>
          <w:sz w:val="32"/>
          <w:szCs w:val="32"/>
          <w:u w:val="none"/>
          <w:shd w:val="clear" w:color="auto" w:fill="FFFFFF"/>
          <w:lang w:eastAsia="zh-CN"/>
        </w:rPr>
        <w:t>在有条件的</w:t>
      </w:r>
      <w:r>
        <w:rPr>
          <w:rFonts w:hint="eastAsia" w:ascii="仿宋_GB2312" w:hAnsi="仿宋_GB2312" w:eastAsia="仿宋_GB2312" w:cs="仿宋_GB2312"/>
          <w:bCs/>
          <w:color w:val="auto"/>
          <w:sz w:val="32"/>
          <w:szCs w:val="32"/>
          <w:u w:val="none"/>
          <w:shd w:val="clear" w:color="auto" w:fill="FFFFFF"/>
        </w:rPr>
        <w:t>村、社区</w:t>
      </w:r>
      <w:r>
        <w:rPr>
          <w:rFonts w:hint="eastAsia" w:ascii="仿宋_GB2312" w:hAnsi="仿宋_GB2312" w:eastAsia="仿宋_GB2312" w:cs="仿宋_GB2312"/>
          <w:bCs/>
          <w:color w:val="auto"/>
          <w:sz w:val="32"/>
          <w:szCs w:val="32"/>
          <w:u w:val="none"/>
          <w:shd w:val="clear" w:color="auto" w:fill="FFFFFF"/>
          <w:lang w:eastAsia="zh-CN"/>
        </w:rPr>
        <w:t>建立</w:t>
      </w:r>
      <w:r>
        <w:rPr>
          <w:rFonts w:hint="eastAsia" w:ascii="仿宋_GB2312" w:hAnsi="仿宋_GB2312" w:eastAsia="仿宋_GB2312" w:cs="仿宋_GB2312"/>
          <w:bCs/>
          <w:color w:val="auto"/>
          <w:sz w:val="32"/>
          <w:szCs w:val="32"/>
          <w:u w:val="none"/>
          <w:shd w:val="clear" w:color="auto" w:fill="FFFFFF"/>
        </w:rPr>
        <w:t>代表联络室</w:t>
      </w:r>
      <w:r>
        <w:rPr>
          <w:rFonts w:hint="eastAsia" w:ascii="仿宋_GB2312" w:hAnsi="仿宋_GB2312" w:eastAsia="仿宋_GB2312" w:cs="仿宋_GB2312"/>
          <w:bCs/>
          <w:color w:val="auto"/>
          <w:sz w:val="32"/>
          <w:szCs w:val="32"/>
          <w:u w:val="none"/>
          <w:shd w:val="clear" w:color="auto" w:fill="FFFFFF"/>
          <w:lang w:eastAsia="zh-CN"/>
        </w:rPr>
        <w:t>，构建家、站、室“三位一体”服务平台体系。</w:t>
      </w:r>
      <w:r>
        <w:rPr>
          <w:rFonts w:hint="eastAsia" w:ascii="仿宋_GB2312" w:hAnsi="仿宋_GB2312" w:eastAsia="仿宋_GB2312" w:cs="仿宋_GB2312"/>
          <w:color w:val="auto"/>
          <w:sz w:val="32"/>
          <w:szCs w:val="32"/>
          <w:u w:val="none"/>
          <w:shd w:val="clear" w:color="auto" w:fill="FFFFFF"/>
          <w:lang w:eastAsia="zh-CN"/>
        </w:rPr>
        <w:t>深入</w:t>
      </w:r>
      <w:r>
        <w:rPr>
          <w:rFonts w:hint="eastAsia" w:ascii="仿宋_GB2312" w:hAnsi="仿宋_GB2312" w:eastAsia="仿宋_GB2312" w:cs="仿宋_GB2312"/>
          <w:color w:val="auto"/>
          <w:sz w:val="32"/>
          <w:szCs w:val="32"/>
          <w:u w:val="none"/>
          <w:shd w:val="clear" w:color="auto" w:fill="FFFFFF"/>
        </w:rPr>
        <w:t>开展</w:t>
      </w:r>
      <w:r>
        <w:rPr>
          <w:rFonts w:hint="eastAsia" w:ascii="仿宋_GB2312" w:hAnsi="仿宋_GB2312" w:eastAsia="仿宋_GB2312" w:cs="仿宋_GB2312"/>
          <w:color w:val="auto"/>
          <w:sz w:val="32"/>
          <w:szCs w:val="32"/>
          <w:u w:val="none"/>
        </w:rPr>
        <w:t>“五星级代表之家”</w:t>
      </w:r>
      <w:r>
        <w:rPr>
          <w:rFonts w:hint="eastAsia" w:ascii="仿宋_GB2312" w:hAnsi="仿宋_GB2312" w:eastAsia="仿宋_GB2312" w:cs="仿宋_GB2312"/>
          <w:color w:val="auto"/>
          <w:sz w:val="32"/>
          <w:szCs w:val="32"/>
          <w:u w:val="none"/>
          <w:shd w:val="clear" w:color="auto" w:fill="FFFFFF"/>
          <w:lang w:eastAsia="zh-CN"/>
        </w:rPr>
        <w:t>创建</w:t>
      </w:r>
      <w:r>
        <w:rPr>
          <w:rFonts w:hint="eastAsia" w:ascii="仿宋_GB2312" w:hAnsi="仿宋_GB2312" w:eastAsia="仿宋_GB2312" w:cs="仿宋_GB2312"/>
          <w:color w:val="auto"/>
          <w:sz w:val="32"/>
          <w:szCs w:val="32"/>
          <w:u w:val="none"/>
          <w:shd w:val="clear" w:color="auto" w:fill="FFFFFF"/>
        </w:rPr>
        <w:t>活动</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bCs/>
          <w:color w:val="auto"/>
          <w:sz w:val="32"/>
          <w:szCs w:val="32"/>
          <w:u w:val="none"/>
          <w:shd w:val="clear" w:color="auto" w:fill="FFFFFF"/>
        </w:rPr>
        <w:t>持续开展直选代表进家入站述职，年内述职比例不少于25%。</w:t>
      </w:r>
      <w:r>
        <w:rPr>
          <w:rFonts w:hint="eastAsia" w:ascii="仿宋_GB2312" w:hAnsi="仿宋_GB2312" w:eastAsia="仿宋_GB2312" w:cs="仿宋_GB2312"/>
          <w:color w:val="auto"/>
          <w:sz w:val="32"/>
          <w:szCs w:val="32"/>
          <w:u w:val="none"/>
        </w:rPr>
        <w:t>制定《高质量发展惠民生、人大代表展风采主题实践活动的实施意见》</w:t>
      </w:r>
      <w:r>
        <w:rPr>
          <w:rFonts w:hint="eastAsia" w:ascii="仿宋_GB2312" w:hAnsi="仿宋_GB2312" w:eastAsia="仿宋_GB2312" w:cs="仿宋_GB2312"/>
          <w:bCs/>
          <w:color w:val="auto"/>
          <w:sz w:val="32"/>
          <w:szCs w:val="32"/>
          <w:u w:val="none"/>
          <w:shd w:val="clear" w:color="auto" w:fill="FFFFFF"/>
        </w:rPr>
        <w:t>，深化拓展“人大代表展风采”主题实践系列活动，打造助力高质量发展、服务乡村振兴、造福人民群众的“人大品牌”。</w:t>
      </w:r>
      <w:r>
        <w:rPr>
          <w:rFonts w:hint="eastAsia" w:ascii="仿宋_GB2312" w:hAnsi="仿宋_GB2312" w:eastAsia="仿宋_GB2312" w:cs="仿宋_GB2312"/>
          <w:b/>
          <w:color w:val="auto"/>
          <w:sz w:val="32"/>
          <w:szCs w:val="32"/>
          <w:u w:val="none"/>
          <w:shd w:val="clear" w:color="auto" w:fill="FFFFFF"/>
        </w:rPr>
        <w:t>支持和保障代表依法履职</w:t>
      </w:r>
      <w:r>
        <w:rPr>
          <w:rFonts w:hint="eastAsia" w:ascii="仿宋_GB2312" w:hAnsi="仿宋_GB2312" w:eastAsia="仿宋_GB2312" w:cs="仿宋_GB2312"/>
          <w:bCs/>
          <w:color w:val="auto"/>
          <w:sz w:val="32"/>
          <w:szCs w:val="32"/>
          <w:u w:val="none"/>
          <w:shd w:val="clear" w:color="auto" w:fill="FFFFFF"/>
        </w:rPr>
        <w:t>。加强代表履职培训，健全代表学习培训制度和规划，用好线上线下平台载体，创新代表培训方式方法，</w:t>
      </w:r>
      <w:r>
        <w:rPr>
          <w:rFonts w:hint="eastAsia" w:ascii="仿宋_GB2312" w:hAnsi="仿宋_GB2312" w:eastAsia="仿宋_GB2312" w:cs="仿宋_GB2312"/>
          <w:bCs/>
          <w:color w:val="auto"/>
          <w:sz w:val="32"/>
          <w:szCs w:val="32"/>
          <w:u w:val="none"/>
          <w:shd w:val="clear" w:color="auto" w:fill="FFFFFF"/>
          <w:lang w:eastAsia="zh-CN"/>
        </w:rPr>
        <w:t>年内</w:t>
      </w:r>
      <w:r>
        <w:rPr>
          <w:rFonts w:hint="eastAsia" w:ascii="仿宋_GB2312" w:hAnsi="仿宋_GB2312" w:eastAsia="仿宋_GB2312" w:cs="仿宋_GB2312"/>
          <w:bCs/>
          <w:color w:val="auto"/>
          <w:sz w:val="32"/>
          <w:szCs w:val="32"/>
          <w:u w:val="none"/>
          <w:shd w:val="clear" w:color="auto" w:fill="FFFFFF"/>
        </w:rPr>
        <w:t>举办代表培训班2期。组织代表开展调研、视察、执法检查等活动，及时向代表通报重要工作情况，有效拓展闭会期间代表履职的形式和途径</w:t>
      </w:r>
      <w:r>
        <w:rPr>
          <w:rFonts w:hint="eastAsia" w:ascii="仿宋_GB2312" w:hAnsi="仿宋_GB2312" w:eastAsia="仿宋_GB2312" w:cs="仿宋_GB2312"/>
          <w:bCs/>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rPr>
        <w:t>研究制定《承德市人大常委会代表履职管理办法（试行）》，推动履职管理制度化规范化常态化。</w:t>
      </w:r>
      <w:r>
        <w:rPr>
          <w:rFonts w:hint="eastAsia" w:ascii="仿宋_GB2312" w:hAnsi="仿宋_GB2312" w:eastAsia="仿宋_GB2312" w:cs="仿宋_GB2312"/>
          <w:bCs/>
          <w:color w:val="auto"/>
          <w:sz w:val="32"/>
          <w:szCs w:val="32"/>
          <w:u w:val="none"/>
          <w:shd w:val="clear" w:color="auto" w:fill="FFFFFF"/>
        </w:rPr>
        <w:t>高质量办好代表建议，健全完善重点议案建议督办、代表参</w:t>
      </w:r>
      <w:r>
        <w:rPr>
          <w:rFonts w:hint="eastAsia" w:ascii="仿宋_GB2312" w:hAnsi="仿宋_GB2312" w:eastAsia="仿宋_GB2312" w:cs="仿宋_GB2312"/>
          <w:bCs/>
          <w:color w:val="auto"/>
          <w:sz w:val="32"/>
          <w:szCs w:val="32"/>
          <w:u w:val="none"/>
          <w:shd w:val="clear" w:color="auto" w:fill="FFFFFF"/>
          <w:lang w:eastAsia="zh-CN"/>
        </w:rPr>
        <w:t>与</w:t>
      </w:r>
      <w:r>
        <w:rPr>
          <w:rFonts w:hint="eastAsia" w:ascii="仿宋_GB2312" w:hAnsi="仿宋_GB2312" w:eastAsia="仿宋_GB2312" w:cs="仿宋_GB2312"/>
          <w:bCs/>
          <w:color w:val="auto"/>
          <w:sz w:val="32"/>
          <w:szCs w:val="32"/>
          <w:u w:val="none"/>
          <w:shd w:val="clear" w:color="auto" w:fill="FFFFFF"/>
        </w:rPr>
        <w:t>督办、工作机构跟踪督办、代表重要建议“直通车”等制度机制，实现代表建议办理满意率、落实率“双提升”。</w:t>
      </w:r>
    </w:p>
    <w:p>
      <w:pPr>
        <w:pStyle w:val="2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绩效指标：执法检查和集中视察工作完成率100%，代表建议督办完成率100%，培训计划完成率100%。</w:t>
      </w:r>
    </w:p>
    <w:p>
      <w:pPr>
        <w:pStyle w:val="2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）人大事务管理</w:t>
      </w:r>
    </w:p>
    <w:p>
      <w:pPr>
        <w:keepNext w:val="0"/>
        <w:keepLines w:val="0"/>
        <w:pageBreakBefore w:val="0"/>
        <w:widowControl w:val="0"/>
        <w:kinsoku/>
        <w:wordWrap/>
        <w:overflowPunct/>
        <w:topLinePunct w:val="0"/>
        <w:autoSpaceDE/>
        <w:autoSpaceDN/>
        <w:bidi w:val="0"/>
        <w:spacing w:line="600" w:lineRule="exact"/>
        <w:ind w:firstLine="636"/>
        <w:jc w:val="both"/>
        <w:textAlignment w:val="auto"/>
        <w:rPr>
          <w:rFonts w:hint="eastAsia" w:ascii="仿宋_GB2312" w:hAnsi="仿宋_GB2312" w:eastAsia="仿宋_GB2312" w:cs="仿宋_GB2312"/>
          <w:bCs/>
          <w:color w:val="auto"/>
          <w:sz w:val="32"/>
          <w:szCs w:val="32"/>
          <w:u w:val="none"/>
          <w:shd w:val="clear" w:color="auto" w:fill="FFFFFF"/>
          <w:lang w:eastAsia="zh-CN"/>
        </w:rPr>
      </w:pPr>
      <w:r>
        <w:rPr>
          <w:rFonts w:hint="eastAsia" w:ascii="仿宋_GB2312" w:hAnsi="仿宋_GB2312" w:eastAsia="仿宋_GB2312" w:cs="仿宋_GB2312"/>
          <w:sz w:val="32"/>
          <w:szCs w:val="32"/>
        </w:rPr>
        <w:t>绩效目标：</w:t>
      </w:r>
      <w:r>
        <w:rPr>
          <w:rFonts w:hint="eastAsia" w:ascii="仿宋_GB2312" w:hAnsi="仿宋_GB2312" w:eastAsia="仿宋_GB2312" w:cs="仿宋_GB2312"/>
          <w:b/>
          <w:bCs w:val="0"/>
          <w:color w:val="auto"/>
          <w:sz w:val="32"/>
          <w:szCs w:val="32"/>
          <w:u w:val="none"/>
          <w:shd w:val="clear" w:color="auto" w:fill="FFFFFF"/>
        </w:rPr>
        <w:t>坚持</w:t>
      </w:r>
      <w:r>
        <w:rPr>
          <w:rFonts w:hint="eastAsia" w:ascii="仿宋_GB2312" w:hAnsi="仿宋_GB2312" w:eastAsia="仿宋_GB2312" w:cs="仿宋_GB2312"/>
          <w:b/>
          <w:bCs w:val="0"/>
          <w:color w:val="auto"/>
          <w:sz w:val="32"/>
          <w:szCs w:val="32"/>
          <w:u w:val="none"/>
          <w:shd w:val="clear" w:color="auto" w:fill="FFFFFF"/>
          <w:lang w:eastAsia="zh-CN"/>
        </w:rPr>
        <w:t>纵深推进</w:t>
      </w:r>
      <w:r>
        <w:rPr>
          <w:rFonts w:hint="eastAsia" w:ascii="仿宋_GB2312" w:hAnsi="仿宋_GB2312" w:eastAsia="仿宋_GB2312" w:cs="仿宋_GB2312"/>
          <w:b/>
          <w:bCs w:val="0"/>
          <w:color w:val="auto"/>
          <w:sz w:val="32"/>
          <w:szCs w:val="32"/>
          <w:u w:val="none"/>
          <w:shd w:val="clear" w:color="auto" w:fill="FFFFFF"/>
        </w:rPr>
        <w:t>全面从严治党</w:t>
      </w:r>
      <w:r>
        <w:rPr>
          <w:rFonts w:hint="eastAsia" w:ascii="仿宋_GB2312" w:hAnsi="仿宋_GB2312" w:eastAsia="仿宋_GB2312" w:cs="仿宋_GB2312"/>
          <w:bCs/>
          <w:color w:val="auto"/>
          <w:sz w:val="32"/>
          <w:szCs w:val="32"/>
          <w:u w:val="none"/>
          <w:shd w:val="clear" w:color="auto" w:fill="FFFFFF"/>
          <w:lang w:eastAsia="zh-CN"/>
        </w:rPr>
        <w:t>。</w:t>
      </w:r>
      <w:r>
        <w:rPr>
          <w:rFonts w:hint="eastAsia" w:ascii="仿宋_GB2312" w:hAnsi="仿宋_GB2312" w:eastAsia="仿宋_GB2312" w:cs="仿宋_GB2312"/>
          <w:bCs/>
          <w:color w:val="auto"/>
          <w:sz w:val="32"/>
          <w:szCs w:val="32"/>
          <w:u w:val="none"/>
          <w:shd w:val="clear" w:color="auto" w:fill="FFFFFF"/>
        </w:rPr>
        <w:t>认真贯彻落实新时代党的建设总要求，以政治建设为统领，深入推进党的思想建设、组织建设、作风建设、纪律建设</w:t>
      </w:r>
      <w:r>
        <w:rPr>
          <w:rFonts w:hint="eastAsia" w:ascii="仿宋_GB2312" w:hAnsi="仿宋_GB2312" w:eastAsia="仿宋_GB2312" w:cs="仿宋_GB2312"/>
          <w:bCs/>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rPr>
        <w:t>巩固拓展党史学习教育和“四史”宣传教育成果，大力弘扬伟大建党精神，力践</w:t>
      </w:r>
      <w:r>
        <w:rPr>
          <w:rFonts w:hint="eastAsia" w:ascii="仿宋_GB2312" w:hAnsi="仿宋_GB2312" w:eastAsia="仿宋_GB2312" w:cs="仿宋_GB2312"/>
          <w:color w:val="auto"/>
          <w:sz w:val="32"/>
          <w:szCs w:val="32"/>
          <w:u w:val="none"/>
          <w:lang w:eastAsia="zh-CN"/>
        </w:rPr>
        <w:t>力</w:t>
      </w:r>
      <w:r>
        <w:rPr>
          <w:rFonts w:hint="eastAsia" w:ascii="仿宋_GB2312" w:hAnsi="仿宋_GB2312" w:eastAsia="仿宋_GB2312" w:cs="仿宋_GB2312"/>
          <w:color w:val="auto"/>
          <w:sz w:val="32"/>
          <w:szCs w:val="32"/>
          <w:u w:val="none"/>
        </w:rPr>
        <w:t>行塞罕坝精神</w:t>
      </w:r>
      <w:r>
        <w:rPr>
          <w:rFonts w:hint="eastAsia" w:ascii="仿宋_GB2312" w:hAnsi="仿宋_GB2312" w:eastAsia="仿宋_GB2312" w:cs="仿宋_GB2312"/>
          <w:color w:val="auto"/>
          <w:sz w:val="32"/>
          <w:szCs w:val="32"/>
          <w:u w:val="none"/>
          <w:lang w:eastAsia="zh-CN"/>
        </w:rPr>
        <w:t>，将“三个植入”不断引向深入。全面贯彻落实十九届中央纪委六次全会和省纪委、市纪委全会精神，召开全面从严治党推进会，夯实主体责任、第一责任人的责任和“一岗双责”，坚持严的主基调不动摇，持续推动全面从严治党向纵深发展。坚定不移推进党风廉政建设和反腐败斗争，深化“四种形态”运用机制，强化党员干部日常管理和监督，</w:t>
      </w:r>
      <w:r>
        <w:rPr>
          <w:rFonts w:hint="eastAsia" w:ascii="仿宋_GB2312" w:hAnsi="仿宋_GB2312" w:eastAsia="仿宋_GB2312" w:cs="仿宋_GB2312"/>
          <w:bCs/>
          <w:color w:val="auto"/>
          <w:sz w:val="32"/>
          <w:szCs w:val="32"/>
          <w:u w:val="none"/>
          <w:shd w:val="clear" w:color="auto" w:fill="FFFFFF"/>
        </w:rPr>
        <w:t>支持</w:t>
      </w:r>
      <w:r>
        <w:rPr>
          <w:rFonts w:hint="eastAsia" w:ascii="仿宋_GB2312" w:hAnsi="仿宋_GB2312" w:eastAsia="仿宋_GB2312" w:cs="仿宋_GB2312"/>
          <w:bCs/>
          <w:color w:val="auto"/>
          <w:sz w:val="32"/>
          <w:szCs w:val="32"/>
          <w:u w:val="none"/>
          <w:shd w:val="clear" w:color="auto" w:fill="FFFFFF"/>
          <w:lang w:eastAsia="zh-CN"/>
        </w:rPr>
        <w:t>和保障</w:t>
      </w:r>
      <w:r>
        <w:rPr>
          <w:rFonts w:hint="eastAsia" w:ascii="仿宋_GB2312" w:hAnsi="仿宋_GB2312" w:eastAsia="仿宋_GB2312" w:cs="仿宋_GB2312"/>
          <w:bCs/>
          <w:color w:val="auto"/>
          <w:sz w:val="32"/>
          <w:szCs w:val="32"/>
          <w:u w:val="none"/>
          <w:shd w:val="clear" w:color="auto" w:fill="FFFFFF"/>
        </w:rPr>
        <w:t>派驻人大机关纪检监察组</w:t>
      </w:r>
      <w:r>
        <w:rPr>
          <w:rFonts w:hint="eastAsia" w:ascii="仿宋_GB2312" w:hAnsi="仿宋_GB2312" w:eastAsia="仿宋_GB2312" w:cs="仿宋_GB2312"/>
          <w:bCs/>
          <w:color w:val="auto"/>
          <w:sz w:val="32"/>
          <w:szCs w:val="32"/>
          <w:u w:val="none"/>
          <w:shd w:val="clear" w:color="auto" w:fill="FFFFFF"/>
          <w:lang w:eastAsia="zh-CN"/>
        </w:rPr>
        <w:t>履行监督职责、</w:t>
      </w:r>
      <w:r>
        <w:rPr>
          <w:rFonts w:hint="eastAsia" w:ascii="仿宋_GB2312" w:hAnsi="仿宋_GB2312" w:eastAsia="仿宋_GB2312" w:cs="仿宋_GB2312"/>
          <w:color w:val="auto"/>
          <w:sz w:val="32"/>
          <w:szCs w:val="32"/>
          <w:u w:val="none"/>
        </w:rPr>
        <w:t>发挥执纪监督作用</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bCs/>
          <w:color w:val="auto"/>
          <w:sz w:val="32"/>
          <w:szCs w:val="32"/>
          <w:u w:val="none"/>
          <w:shd w:val="clear" w:color="auto" w:fill="FFFFFF"/>
          <w:lang w:eastAsia="zh-CN"/>
        </w:rPr>
        <w:t>严格执行</w:t>
      </w:r>
      <w:r>
        <w:rPr>
          <w:rFonts w:hint="eastAsia" w:ascii="仿宋_GB2312" w:hAnsi="仿宋_GB2312" w:eastAsia="仿宋_GB2312" w:cs="仿宋_GB2312"/>
          <w:bCs/>
          <w:color w:val="auto"/>
          <w:sz w:val="32"/>
          <w:szCs w:val="32"/>
          <w:u w:val="none"/>
          <w:shd w:val="clear" w:color="auto" w:fill="FFFFFF"/>
        </w:rPr>
        <w:t>中央八项规定及其实施细则精神，</w:t>
      </w:r>
      <w:r>
        <w:rPr>
          <w:rFonts w:hint="eastAsia" w:ascii="仿宋_GB2312" w:hAnsi="仿宋_GB2312" w:eastAsia="仿宋_GB2312" w:cs="仿宋_GB2312"/>
          <w:bCs/>
          <w:color w:val="auto"/>
          <w:sz w:val="32"/>
          <w:szCs w:val="32"/>
          <w:u w:val="none"/>
          <w:shd w:val="clear" w:color="auto" w:fill="FFFFFF"/>
          <w:lang w:eastAsia="zh-CN"/>
        </w:rPr>
        <w:t>扎实开展深化纠正“四风”和作风纪律专项整治活动，</w:t>
      </w:r>
      <w:r>
        <w:rPr>
          <w:rFonts w:hint="eastAsia" w:ascii="仿宋_GB2312" w:hAnsi="仿宋_GB2312" w:eastAsia="仿宋_GB2312" w:cs="仿宋_GB2312"/>
          <w:bCs/>
          <w:color w:val="auto"/>
          <w:sz w:val="32"/>
          <w:szCs w:val="32"/>
          <w:u w:val="none"/>
          <w:shd w:val="clear" w:color="auto" w:fill="FFFFFF"/>
        </w:rPr>
        <w:t>坚决纠正“四风”，力戒形式主义、官僚主义。</w:t>
      </w:r>
      <w:r>
        <w:rPr>
          <w:rFonts w:hint="eastAsia" w:ascii="仿宋_GB2312" w:hAnsi="仿宋_GB2312" w:eastAsia="仿宋_GB2312" w:cs="仿宋_GB2312"/>
          <w:color w:val="auto"/>
          <w:sz w:val="32"/>
          <w:szCs w:val="32"/>
          <w:u w:val="none"/>
          <w:lang w:eastAsia="zh-CN"/>
        </w:rPr>
        <w:t>全面落实意识形态工作“三清单四机制”</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着力加强意识形态安全教育和网络意识形态建设，坚决</w:t>
      </w:r>
      <w:r>
        <w:rPr>
          <w:rFonts w:hint="eastAsia" w:ascii="仿宋_GB2312" w:hAnsi="仿宋_GB2312" w:eastAsia="仿宋_GB2312" w:cs="仿宋_GB2312"/>
          <w:b w:val="0"/>
          <w:bCs/>
          <w:color w:val="auto"/>
          <w:kern w:val="0"/>
          <w:sz w:val="32"/>
          <w:szCs w:val="32"/>
          <w:u w:val="none"/>
        </w:rPr>
        <w:t>守好意识形态人大阵地</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b/>
          <w:color w:val="auto"/>
          <w:sz w:val="32"/>
          <w:szCs w:val="32"/>
          <w:u w:val="none"/>
          <w:shd w:val="clear" w:color="auto" w:fill="FFFFFF"/>
          <w:lang w:eastAsia="zh-CN"/>
        </w:rPr>
        <w:t>统筹推进“四个机关”建设</w:t>
      </w:r>
      <w:r>
        <w:rPr>
          <w:rFonts w:hint="eastAsia" w:ascii="仿宋_GB2312" w:hAnsi="仿宋_GB2312" w:eastAsia="仿宋_GB2312" w:cs="仿宋_GB2312"/>
          <w:b w:val="0"/>
          <w:bCs/>
          <w:color w:val="auto"/>
          <w:sz w:val="32"/>
          <w:szCs w:val="32"/>
          <w:u w:val="none"/>
          <w:shd w:val="clear" w:color="auto" w:fill="FFFFFF"/>
          <w:lang w:eastAsia="zh-CN"/>
        </w:rPr>
        <w:t>。认真贯彻落实</w:t>
      </w:r>
      <w:r>
        <w:rPr>
          <w:rFonts w:hint="eastAsia" w:ascii="仿宋_GB2312" w:hAnsi="仿宋_GB2312" w:eastAsia="仿宋_GB2312" w:cs="仿宋_GB2312"/>
          <w:bCs/>
          <w:color w:val="auto"/>
          <w:sz w:val="32"/>
          <w:szCs w:val="32"/>
          <w:u w:val="none"/>
          <w:shd w:val="clear" w:color="auto" w:fill="FFFFFF"/>
          <w:lang w:eastAsia="zh-CN"/>
        </w:rPr>
        <w:t>《承德市人大常委会关于加强</w:t>
      </w:r>
      <w:r>
        <w:rPr>
          <w:rFonts w:hint="eastAsia" w:ascii="仿宋_GB2312" w:hAnsi="仿宋_GB2312" w:eastAsia="仿宋_GB2312" w:cs="仿宋_GB2312"/>
          <w:bCs/>
          <w:color w:val="auto"/>
          <w:sz w:val="32"/>
          <w:szCs w:val="32"/>
          <w:u w:val="none"/>
          <w:shd w:val="clear" w:color="auto" w:fill="FFFFFF"/>
        </w:rPr>
        <w:t>“四个机关”</w:t>
      </w:r>
      <w:r>
        <w:rPr>
          <w:rFonts w:hint="eastAsia" w:ascii="仿宋_GB2312" w:hAnsi="仿宋_GB2312" w:eastAsia="仿宋_GB2312" w:cs="仿宋_GB2312"/>
          <w:bCs/>
          <w:color w:val="auto"/>
          <w:sz w:val="32"/>
          <w:szCs w:val="32"/>
          <w:u w:val="none"/>
          <w:shd w:val="clear" w:color="auto" w:fill="FFFFFF"/>
          <w:lang w:eastAsia="zh-CN"/>
        </w:rPr>
        <w:t>建设的实施意见》，把握新定位，锚定新目标，以政治引领把牢正确方向，以民主理念凝聚智慧力量，以法治建设护航承德发展，以过硬本领彰显人大担当。把坚持党的全面领导作为最高政治原则，坚决拥护“两个确立”，坚定做到“两个维护”，着力打造自觉坚持中国共产党领导的政治机关；把人民放在心中最高位置，支持和保证人民通过人民代表大会行使国家权力，不断发展全过程人民民主，着力打造保证人民当家作主的国家权力机关；把厉行法治作为重要遵循，善于运用法治思维和法治方式，创造性做好立法、监督、决定、任免等工作，着力打造全面担负宪法法律赋予的各项职责的工作机关；把密切联系群众作为重要法宝，忠实代表人民利益和意志，善于把各方面社情民意统一于最广大人民根本利益之中，着力打造始终同人民群众保持密切联系的代表机关。要在建设“四个机关”的生动实践中，着力打造一支政治坚定、服务人民、尊崇法治、发扬民主、勤勉尽责的人大工作队伍，努力创造无愧于党和人民、无愧于历史和时代的新业绩。</w:t>
      </w:r>
    </w:p>
    <w:p>
      <w:pPr>
        <w:keepNext w:val="0"/>
        <w:keepLines w:val="0"/>
        <w:pageBreakBefore w:val="0"/>
        <w:widowControl w:val="0"/>
        <w:kinsoku/>
        <w:wordWrap/>
        <w:overflowPunct/>
        <w:topLinePunct w:val="0"/>
        <w:autoSpaceDE/>
        <w:autoSpaceDN/>
        <w:bidi w:val="0"/>
        <w:spacing w:line="600" w:lineRule="exact"/>
        <w:jc w:val="both"/>
        <w:textAlignment w:val="auto"/>
        <w:rPr>
          <w:rFonts w:hint="eastAsia" w:ascii="仿宋_GB2312" w:hAnsi="仿宋_GB2312" w:eastAsia="仿宋_GB2312" w:cs="仿宋_GB2312"/>
          <w:bCs/>
          <w:color w:val="auto"/>
          <w:sz w:val="32"/>
          <w:szCs w:val="32"/>
          <w:u w:val="none"/>
          <w:shd w:val="clear" w:color="auto" w:fill="FFFFFF"/>
        </w:rPr>
      </w:pPr>
      <w:r>
        <w:rPr>
          <w:rFonts w:hint="eastAsia" w:ascii="仿宋_GB2312" w:hAnsi="仿宋_GB2312" w:eastAsia="仿宋_GB2312" w:cs="仿宋_GB2312"/>
          <w:b/>
          <w:color w:val="auto"/>
          <w:sz w:val="32"/>
          <w:szCs w:val="32"/>
          <w:u w:val="none"/>
          <w:shd w:val="clear" w:color="auto" w:fill="FFFFFF"/>
          <w:lang w:eastAsia="zh-CN"/>
        </w:rPr>
        <w:t>全力创建省级文明单位</w:t>
      </w:r>
      <w:r>
        <w:rPr>
          <w:rFonts w:hint="eastAsia" w:ascii="仿宋_GB2312" w:hAnsi="仿宋_GB2312" w:eastAsia="仿宋_GB2312" w:cs="仿宋_GB2312"/>
          <w:b w:val="0"/>
          <w:bCs/>
          <w:color w:val="auto"/>
          <w:sz w:val="32"/>
          <w:szCs w:val="32"/>
          <w:u w:val="none"/>
          <w:shd w:val="clear" w:color="auto" w:fill="FFFFFF"/>
          <w:lang w:eastAsia="zh-CN"/>
        </w:rPr>
        <w:t>。认真贯彻落实《承德市人大常委会创建省级文明单位总体实施方案》，</w:t>
      </w:r>
      <w:r>
        <w:rPr>
          <w:rFonts w:hint="eastAsia" w:ascii="仿宋_GB2312" w:hAnsi="仿宋_GB2312" w:eastAsia="仿宋_GB2312" w:cs="仿宋_GB2312"/>
          <w:bCs/>
          <w:color w:val="auto"/>
          <w:sz w:val="32"/>
          <w:szCs w:val="32"/>
          <w:u w:val="none"/>
          <w:shd w:val="clear" w:color="auto" w:fill="FFFFFF"/>
          <w:lang w:eastAsia="zh-CN"/>
        </w:rPr>
        <w:t>以“讲政治、崇法律、守规矩、强能力”为主题，</w:t>
      </w:r>
      <w:r>
        <w:rPr>
          <w:rFonts w:hint="eastAsia" w:ascii="仿宋_GB2312" w:hAnsi="仿宋_GB2312" w:eastAsia="仿宋_GB2312" w:cs="仿宋_GB2312"/>
          <w:b w:val="0"/>
          <w:bCs/>
          <w:color w:val="auto"/>
          <w:sz w:val="32"/>
          <w:szCs w:val="32"/>
          <w:u w:val="none"/>
          <w:shd w:val="clear" w:color="auto" w:fill="FFFFFF"/>
          <w:lang w:eastAsia="zh-CN"/>
        </w:rPr>
        <w:t>扎实做好争创省级文明单位各项工作</w:t>
      </w:r>
      <w:r>
        <w:rPr>
          <w:rFonts w:hint="eastAsia" w:ascii="仿宋_GB2312" w:hAnsi="仿宋_GB2312" w:eastAsia="仿宋_GB2312" w:cs="仿宋_GB2312"/>
          <w:b w:val="0"/>
          <w:bCs/>
          <w:color w:val="auto"/>
          <w:sz w:val="32"/>
          <w:szCs w:val="32"/>
          <w:u w:val="none"/>
          <w:shd w:val="clear" w:color="auto" w:fill="FFFFFF"/>
        </w:rPr>
        <w:t>。</w:t>
      </w:r>
      <w:r>
        <w:rPr>
          <w:rFonts w:hint="eastAsia" w:ascii="仿宋_GB2312" w:hAnsi="仿宋_GB2312" w:eastAsia="仿宋_GB2312" w:cs="仿宋_GB2312"/>
          <w:b w:val="0"/>
          <w:bCs/>
          <w:color w:val="auto"/>
          <w:sz w:val="32"/>
          <w:szCs w:val="32"/>
          <w:u w:val="none"/>
          <w:shd w:val="clear" w:color="auto" w:fill="FFFFFF"/>
          <w:lang w:eastAsia="zh-CN"/>
        </w:rPr>
        <w:t>研究制定</w:t>
      </w:r>
      <w:r>
        <w:rPr>
          <w:rFonts w:hint="eastAsia" w:ascii="仿宋_GB2312" w:hAnsi="仿宋_GB2312" w:eastAsia="仿宋_GB2312" w:cs="仿宋_GB2312"/>
          <w:b w:val="0"/>
          <w:bCs/>
          <w:color w:val="auto"/>
          <w:sz w:val="32"/>
          <w:szCs w:val="32"/>
          <w:u w:val="none"/>
          <w:shd w:val="clear" w:color="auto" w:fill="FFFFFF"/>
          <w:lang w:val="en-US" w:eastAsia="zh-CN"/>
        </w:rPr>
        <w:t>2022年创建工作计划和方案，全面落实省市创建精神文明单位的各项指导性要求。</w:t>
      </w:r>
      <w:r>
        <w:rPr>
          <w:rFonts w:hint="eastAsia" w:ascii="仿宋_GB2312" w:hAnsi="仿宋_GB2312" w:eastAsia="仿宋_GB2312" w:cs="仿宋_GB2312"/>
          <w:b w:val="0"/>
          <w:bCs w:val="0"/>
          <w:color w:val="auto"/>
          <w:kern w:val="0"/>
          <w:sz w:val="32"/>
          <w:szCs w:val="32"/>
          <w:u w:val="none"/>
          <w:lang w:val="en-US" w:eastAsia="zh-CN" w:bidi="ar"/>
        </w:rPr>
        <w:t>在市文明办的指导下，</w:t>
      </w:r>
      <w:r>
        <w:rPr>
          <w:rFonts w:hint="eastAsia" w:ascii="仿宋_GB2312" w:hAnsi="仿宋_GB2312" w:eastAsia="仿宋_GB2312" w:cs="仿宋_GB2312"/>
          <w:b w:val="0"/>
          <w:bCs/>
          <w:color w:val="auto"/>
          <w:sz w:val="32"/>
          <w:szCs w:val="32"/>
          <w:u w:val="none"/>
          <w:shd w:val="clear" w:color="auto" w:fill="FFFFFF"/>
          <w:lang w:val="en-US" w:eastAsia="zh-CN"/>
        </w:rPr>
        <w:t>抓好领导班子建设、干部队伍建设、制度建设，全面完成精神文明创建各项任务</w:t>
      </w:r>
      <w:r>
        <w:rPr>
          <w:rFonts w:hint="eastAsia" w:ascii="仿宋_GB2312" w:hAnsi="仿宋_GB2312" w:eastAsia="仿宋_GB2312" w:cs="仿宋_GB2312"/>
          <w:bCs/>
          <w:color w:val="auto"/>
          <w:sz w:val="32"/>
          <w:szCs w:val="32"/>
          <w:u w:val="none"/>
          <w:shd w:val="clear" w:color="auto" w:fill="FFFFFF"/>
          <w:lang w:eastAsia="zh-CN"/>
        </w:rPr>
        <w:t>。</w:t>
      </w:r>
      <w:r>
        <w:rPr>
          <w:rFonts w:hint="eastAsia" w:ascii="仿宋_GB2312" w:hAnsi="仿宋_GB2312" w:eastAsia="仿宋_GB2312" w:cs="仿宋_GB2312"/>
          <w:bCs/>
          <w:color w:val="auto"/>
          <w:sz w:val="32"/>
          <w:szCs w:val="32"/>
          <w:u w:val="none"/>
          <w:shd w:val="clear" w:color="auto" w:fill="FFFFFF"/>
          <w:lang w:val="en-US" w:eastAsia="zh-CN"/>
        </w:rPr>
        <w:t>及时总结成绩，查找不足，针对存在问题认真整改并进行复查，直至达到验收标准。</w:t>
      </w:r>
      <w:r>
        <w:rPr>
          <w:rFonts w:hint="eastAsia" w:ascii="仿宋_GB2312" w:hAnsi="仿宋_GB2312" w:eastAsia="仿宋_GB2312" w:cs="仿宋_GB2312"/>
          <w:b/>
          <w:color w:val="auto"/>
          <w:sz w:val="32"/>
          <w:szCs w:val="32"/>
          <w:u w:val="none"/>
          <w:shd w:val="clear" w:color="auto" w:fill="FFFFFF"/>
          <w:lang w:eastAsia="zh-CN"/>
        </w:rPr>
        <w:t>注重</w:t>
      </w:r>
      <w:r>
        <w:rPr>
          <w:rFonts w:hint="eastAsia" w:ascii="仿宋_GB2312" w:hAnsi="仿宋_GB2312" w:eastAsia="仿宋_GB2312" w:cs="仿宋_GB2312"/>
          <w:b/>
          <w:color w:val="auto"/>
          <w:sz w:val="32"/>
          <w:szCs w:val="32"/>
          <w:u w:val="none"/>
          <w:shd w:val="clear" w:color="auto" w:fill="FFFFFF"/>
        </w:rPr>
        <w:t>发挥</w:t>
      </w:r>
      <w:r>
        <w:rPr>
          <w:rFonts w:hint="eastAsia" w:ascii="仿宋_GB2312" w:hAnsi="仿宋_GB2312" w:eastAsia="仿宋_GB2312" w:cs="仿宋_GB2312"/>
          <w:b/>
          <w:color w:val="auto"/>
          <w:sz w:val="32"/>
          <w:szCs w:val="32"/>
          <w:u w:val="none"/>
          <w:shd w:val="clear" w:color="auto" w:fill="FFFFFF"/>
          <w:lang w:eastAsia="zh-CN"/>
        </w:rPr>
        <w:t>人大系统</w:t>
      </w:r>
      <w:r>
        <w:rPr>
          <w:rFonts w:hint="eastAsia" w:ascii="仿宋_GB2312" w:hAnsi="仿宋_GB2312" w:eastAsia="仿宋_GB2312" w:cs="仿宋_GB2312"/>
          <w:b/>
          <w:color w:val="auto"/>
          <w:sz w:val="32"/>
          <w:szCs w:val="32"/>
          <w:u w:val="none"/>
          <w:shd w:val="clear" w:color="auto" w:fill="FFFFFF"/>
        </w:rPr>
        <w:t>整体</w:t>
      </w:r>
      <w:r>
        <w:rPr>
          <w:rFonts w:hint="eastAsia" w:ascii="仿宋_GB2312" w:hAnsi="仿宋_GB2312" w:eastAsia="仿宋_GB2312" w:cs="仿宋_GB2312"/>
          <w:b/>
          <w:color w:val="auto"/>
          <w:sz w:val="32"/>
          <w:szCs w:val="32"/>
          <w:u w:val="none"/>
          <w:shd w:val="clear" w:color="auto" w:fill="FFFFFF"/>
          <w:lang w:eastAsia="zh-CN"/>
        </w:rPr>
        <w:t>功效</w:t>
      </w:r>
      <w:r>
        <w:rPr>
          <w:rFonts w:hint="eastAsia" w:ascii="仿宋_GB2312" w:hAnsi="仿宋_GB2312" w:eastAsia="仿宋_GB2312" w:cs="仿宋_GB2312"/>
          <w:bCs/>
          <w:color w:val="auto"/>
          <w:sz w:val="32"/>
          <w:szCs w:val="32"/>
          <w:u w:val="none"/>
          <w:shd w:val="clear" w:color="auto" w:fill="FFFFFF"/>
        </w:rPr>
        <w:t>。</w:t>
      </w:r>
      <w:r>
        <w:rPr>
          <w:rFonts w:hint="eastAsia" w:ascii="仿宋_GB2312" w:hAnsi="仿宋_GB2312" w:eastAsia="仿宋_GB2312" w:cs="仿宋_GB2312"/>
          <w:color w:val="auto"/>
          <w:sz w:val="32"/>
          <w:szCs w:val="32"/>
          <w:u w:val="none"/>
        </w:rPr>
        <w:t>牢固树立“一盘棋”思想，</w:t>
      </w:r>
      <w:r>
        <w:rPr>
          <w:rFonts w:hint="eastAsia" w:ascii="仿宋_GB2312" w:hAnsi="仿宋_GB2312" w:eastAsia="仿宋_GB2312" w:cs="仿宋_GB2312"/>
          <w:bCs/>
          <w:color w:val="auto"/>
          <w:sz w:val="32"/>
          <w:szCs w:val="32"/>
          <w:u w:val="none"/>
          <w:shd w:val="clear" w:color="auto" w:fill="FFFFFF"/>
        </w:rPr>
        <w:t>全面落实“1122”沟通联系机制，构建聚焦重点、协调联动、同向发力的工作格局。充分发挥人大专门委员会职能作用，支持各委员会各负其责、协调一致开展工作。</w:t>
      </w:r>
      <w:r>
        <w:rPr>
          <w:rFonts w:hint="eastAsia" w:ascii="仿宋_GB2312" w:hAnsi="仿宋_GB2312" w:eastAsia="仿宋_GB2312" w:cs="仿宋_GB2312"/>
          <w:color w:val="auto"/>
          <w:sz w:val="32"/>
          <w:szCs w:val="32"/>
          <w:u w:val="none"/>
        </w:rPr>
        <w:t>加强对县乡人大工作的联系指导，</w:t>
      </w:r>
      <w:r>
        <w:rPr>
          <w:rFonts w:hint="eastAsia" w:ascii="仿宋_GB2312" w:hAnsi="仿宋_GB2312" w:eastAsia="仿宋_GB2312" w:cs="仿宋_GB2312"/>
          <w:bCs/>
          <w:color w:val="auto"/>
          <w:sz w:val="32"/>
          <w:szCs w:val="32"/>
          <w:u w:val="none"/>
          <w:shd w:val="clear" w:color="auto" w:fill="FFFFFF"/>
        </w:rPr>
        <w:t>提升县乡人大工作和建设水平。加快</w:t>
      </w:r>
      <w:r>
        <w:rPr>
          <w:rFonts w:hint="eastAsia" w:ascii="仿宋_GB2312" w:hAnsi="仿宋_GB2312" w:eastAsia="仿宋_GB2312" w:cs="仿宋_GB2312"/>
          <w:bCs/>
          <w:color w:val="auto"/>
          <w:sz w:val="32"/>
          <w:szCs w:val="32"/>
          <w:u w:val="none"/>
          <w:shd w:val="clear" w:color="auto" w:fill="FFFFFF"/>
          <w:lang w:eastAsia="zh-CN"/>
        </w:rPr>
        <w:t>推进</w:t>
      </w:r>
      <w:r>
        <w:rPr>
          <w:rFonts w:hint="eastAsia" w:ascii="仿宋_GB2312" w:hAnsi="仿宋_GB2312" w:eastAsia="仿宋_GB2312" w:cs="仿宋_GB2312"/>
          <w:bCs/>
          <w:color w:val="auto"/>
          <w:sz w:val="32"/>
          <w:szCs w:val="32"/>
          <w:u w:val="none"/>
          <w:shd w:val="clear" w:color="auto" w:fill="FFFFFF"/>
        </w:rPr>
        <w:t>“智慧人大”建设，</w:t>
      </w:r>
      <w:r>
        <w:rPr>
          <w:rFonts w:hint="eastAsia" w:ascii="仿宋_GB2312" w:hAnsi="仿宋_GB2312" w:eastAsia="仿宋_GB2312" w:cs="仿宋_GB2312"/>
          <w:bCs/>
          <w:color w:val="auto"/>
          <w:sz w:val="32"/>
          <w:szCs w:val="32"/>
          <w:u w:val="none"/>
          <w:shd w:val="clear" w:color="auto" w:fill="FFFFFF"/>
          <w:lang w:eastAsia="zh-CN"/>
        </w:rPr>
        <w:t>统筹做好人大宣传、理论研究、机关文化等工作，不断提升依法履职效能，打造更多的亮点品牌。</w:t>
      </w:r>
      <w:r>
        <w:rPr>
          <w:rFonts w:hint="eastAsia" w:ascii="仿宋_GB2312" w:hAnsi="仿宋_GB2312" w:eastAsia="仿宋_GB2312" w:cs="仿宋_GB2312"/>
          <w:bCs/>
          <w:color w:val="auto"/>
          <w:sz w:val="32"/>
          <w:szCs w:val="32"/>
          <w:u w:val="none"/>
          <w:shd w:val="clear" w:color="auto" w:fill="FFFFFF"/>
        </w:rPr>
        <w:t>加强与外地人大的横向联系，对标先进，取长补短，推动全市人大工作实现新跃升。</w:t>
      </w:r>
    </w:p>
    <w:p>
      <w:pPr>
        <w:pStyle w:val="2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绩效指标：工作任务完成率100%。</w:t>
      </w:r>
    </w:p>
    <w:p>
      <w:pPr>
        <w:pStyle w:val="23"/>
        <w:rPr>
          <w:rFonts w:hint="eastAsia" w:ascii="仿宋_GB2312" w:hAnsi="仿宋_GB2312" w:eastAsia="仿宋_GB2312" w:cs="仿宋_GB2312"/>
          <w:sz w:val="32"/>
          <w:szCs w:val="32"/>
        </w:rPr>
      </w:pP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（三）工作保障措施</w:t>
      </w:r>
    </w:p>
    <w:p>
      <w:pPr>
        <w:pStyle w:val="24"/>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加强制度建设。建立健全机关预算绩效管理制度，为全年预算绩效目标的实现奠定制度基础。</w:t>
      </w:r>
    </w:p>
    <w:p>
      <w:pPr>
        <w:pStyle w:val="24"/>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规范财务管理。进一步完善财务管理制度，通过科学编制预算、优化支出结构、加快政府采购、加快项目建设、及时拨付资金，确保经费支出进度达到规定标准。</w:t>
      </w:r>
    </w:p>
    <w:p>
      <w:pPr>
        <w:pStyle w:val="24"/>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加强内部控制。加强内部控制建设，对重大事项、资产处置及其他重要经济业务事项决策和执行进行监督，定期开展财务内部审计，确保财政资金使用安全有效。</w:t>
      </w:r>
    </w:p>
    <w:p>
      <w:pPr>
        <w:pStyle w:val="24"/>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加强绩效监控。积极开展绩效运行监控，发现问题及时采取措施，确保绩效目标如期保质实现。</w:t>
      </w:r>
    </w:p>
    <w:p>
      <w:pPr>
        <w:pStyle w:val="24"/>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做好绩效自评。按要求开展部门预算绩效自评和重点评价工作，对评价中发现的问题及时整改。</w:t>
      </w:r>
    </w:p>
    <w:p>
      <w:pPr>
        <w:pStyle w:val="24"/>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加强宣传培训。加强人员培训，加大宣传力度，强化预算绩效管理意识，促进预算绩效管理水平提升。</w:t>
      </w:r>
    </w:p>
    <w:p>
      <w:pPr>
        <w:pStyle w:val="24"/>
      </w:pPr>
    </w:p>
    <w:p>
      <w:pPr>
        <w:numPr>
          <w:ilvl w:val="0"/>
          <w:numId w:val="4"/>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numPr>
          <w:ilvl w:val="0"/>
          <w:numId w:val="0"/>
        </w:numPr>
        <w:rPr>
          <w:rFonts w:hint="default" w:ascii="方正楷体_GBK" w:hAnsi="方正楷体_GBK" w:eastAsia="方正楷体_GBK" w:cs="方正楷体_GBK"/>
          <w:b/>
          <w:color w:val="000000"/>
          <w:sz w:val="32"/>
          <w:lang w:val="en-US" w:eastAsia="zh-CN"/>
        </w:rPr>
      </w:pPr>
      <w:r>
        <w:rPr>
          <w:rFonts w:hint="eastAsia" w:ascii="方正楷体_GBK" w:hAnsi="方正楷体_GBK" w:eastAsia="方正楷体_GBK" w:cs="方正楷体_GBK"/>
          <w:b/>
          <w:color w:val="000000"/>
          <w:sz w:val="32"/>
          <w:lang w:val="en-US" w:eastAsia="zh-CN"/>
        </w:rPr>
        <w:t xml:space="preserve">       无</w:t>
      </w:r>
    </w:p>
    <w:p>
      <w:pPr>
        <w:pStyle w:val="25"/>
        <w:ind w:firstLine="640"/>
      </w:pPr>
      <w:r>
        <w:rPr>
          <w:rFonts w:ascii="方正楷体_GBK" w:hAnsi="方正楷体_GBK" w:eastAsia="方正楷体_GBK" w:cs="方正楷体_GBK"/>
          <w:b/>
          <w:color w:val="000000"/>
          <w:sz w:val="32"/>
        </w:rPr>
        <w:t>第三部分  预算项目绩效目标</w:t>
      </w:r>
    </w:p>
    <w:p>
      <w:pPr>
        <w:pStyle w:val="25"/>
        <w:ind w:firstLine="560"/>
      </w:pPr>
      <w:r>
        <w:rPr>
          <w:rFonts w:ascii="方正仿宋_GBK" w:hAnsi="方正仿宋_GBK" w:eastAsia="方正仿宋_GBK" w:cs="方正仿宋_GBK"/>
          <w:b/>
          <w:color w:val="000000"/>
          <w:sz w:val="28"/>
        </w:rPr>
        <w:t>1、2022年度会议费项目绩效目标表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6"/>
            </w:pPr>
            <w:r>
              <w:t>绩效目标</w:t>
            </w:r>
          </w:p>
        </w:tc>
        <w:tc>
          <w:tcPr>
            <w:tcW w:w="12756" w:type="dxa"/>
            <w:tcBorders>
              <w:bottom w:val="single" w:color="FFFFFF" w:sz="6" w:space="0"/>
            </w:tcBorders>
            <w:vAlign w:val="center"/>
          </w:tcPr>
          <w:p>
            <w:pPr>
              <w:pStyle w:val="27"/>
            </w:pPr>
            <w:r>
              <w:t>1.目标内容1</w:t>
            </w:r>
          </w:p>
        </w:tc>
      </w:tr>
    </w:tbl>
    <w:p>
      <w:pPr>
        <w:pStyle w:val="25"/>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产出指标</w:t>
            </w:r>
          </w:p>
        </w:tc>
        <w:tc>
          <w:tcPr>
            <w:tcW w:w="2268" w:type="dxa"/>
            <w:vAlign w:val="center"/>
          </w:tcPr>
          <w:p>
            <w:pPr>
              <w:pStyle w:val="27"/>
            </w:pPr>
            <w:r>
              <w:t>数量指标</w:t>
            </w:r>
          </w:p>
        </w:tc>
        <w:tc>
          <w:tcPr>
            <w:tcW w:w="2835" w:type="dxa"/>
            <w:vAlign w:val="center"/>
          </w:tcPr>
          <w:p>
            <w:pPr>
              <w:pStyle w:val="27"/>
            </w:pPr>
            <w:r>
              <w:t>组织会议次数</w:t>
            </w:r>
          </w:p>
        </w:tc>
        <w:tc>
          <w:tcPr>
            <w:tcW w:w="2835" w:type="dxa"/>
            <w:vAlign w:val="center"/>
          </w:tcPr>
          <w:p>
            <w:pPr>
              <w:pStyle w:val="27"/>
            </w:pPr>
            <w:r>
              <w:t>组织会议次数</w:t>
            </w:r>
          </w:p>
        </w:tc>
        <w:tc>
          <w:tcPr>
            <w:tcW w:w="2551" w:type="dxa"/>
            <w:vAlign w:val="center"/>
          </w:tcPr>
          <w:p>
            <w:pPr>
              <w:pStyle w:val="27"/>
            </w:pPr>
            <w:r>
              <w:t>≥6次</w:t>
            </w:r>
          </w:p>
        </w:tc>
        <w:tc>
          <w:tcPr>
            <w:tcW w:w="2268" w:type="dxa"/>
            <w:vAlign w:val="center"/>
          </w:tcPr>
          <w:p>
            <w:pPr>
              <w:pStyle w:val="27"/>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参与会议人数</w:t>
            </w:r>
          </w:p>
        </w:tc>
        <w:tc>
          <w:tcPr>
            <w:tcW w:w="2835" w:type="dxa"/>
            <w:vAlign w:val="center"/>
          </w:tcPr>
          <w:p>
            <w:pPr>
              <w:pStyle w:val="27"/>
            </w:pPr>
            <w:r>
              <w:t>参与会议人数</w:t>
            </w:r>
          </w:p>
        </w:tc>
        <w:tc>
          <w:tcPr>
            <w:tcW w:w="2551" w:type="dxa"/>
            <w:vAlign w:val="center"/>
          </w:tcPr>
          <w:p>
            <w:pPr>
              <w:pStyle w:val="27"/>
            </w:pPr>
            <w:r>
              <w:t>≥500人</w:t>
            </w:r>
          </w:p>
        </w:tc>
        <w:tc>
          <w:tcPr>
            <w:tcW w:w="2268" w:type="dxa"/>
            <w:vAlign w:val="center"/>
          </w:tcPr>
          <w:p>
            <w:pPr>
              <w:pStyle w:val="27"/>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会议持续天数</w:t>
            </w:r>
          </w:p>
        </w:tc>
        <w:tc>
          <w:tcPr>
            <w:tcW w:w="2835" w:type="dxa"/>
            <w:vAlign w:val="center"/>
          </w:tcPr>
          <w:p>
            <w:pPr>
              <w:pStyle w:val="27"/>
            </w:pPr>
            <w:r>
              <w:t>会议持续天数</w:t>
            </w:r>
          </w:p>
        </w:tc>
        <w:tc>
          <w:tcPr>
            <w:tcW w:w="2551" w:type="dxa"/>
            <w:vAlign w:val="center"/>
          </w:tcPr>
          <w:p>
            <w:pPr>
              <w:pStyle w:val="27"/>
            </w:pPr>
            <w:r>
              <w:t>≥5天</w:t>
            </w:r>
          </w:p>
        </w:tc>
        <w:tc>
          <w:tcPr>
            <w:tcW w:w="2268" w:type="dxa"/>
            <w:vAlign w:val="center"/>
          </w:tcPr>
          <w:p>
            <w:pPr>
              <w:pStyle w:val="27"/>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参会人员出勤率</w:t>
            </w:r>
          </w:p>
        </w:tc>
        <w:tc>
          <w:tcPr>
            <w:tcW w:w="2835" w:type="dxa"/>
            <w:vAlign w:val="center"/>
          </w:tcPr>
          <w:p>
            <w:pPr>
              <w:pStyle w:val="27"/>
            </w:pPr>
            <w:r>
              <w:t>参会人员出勤率</w:t>
            </w:r>
          </w:p>
        </w:tc>
        <w:tc>
          <w:tcPr>
            <w:tcW w:w="2551" w:type="dxa"/>
            <w:vAlign w:val="center"/>
          </w:tcPr>
          <w:p>
            <w:pPr>
              <w:pStyle w:val="27"/>
            </w:pPr>
            <w:r>
              <w:t>≥95%</w:t>
            </w:r>
          </w:p>
        </w:tc>
        <w:tc>
          <w:tcPr>
            <w:tcW w:w="2268" w:type="dxa"/>
            <w:vAlign w:val="center"/>
          </w:tcPr>
          <w:p>
            <w:pPr>
              <w:pStyle w:val="27"/>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会议开展及时性</w:t>
            </w:r>
          </w:p>
        </w:tc>
        <w:tc>
          <w:tcPr>
            <w:tcW w:w="2835" w:type="dxa"/>
            <w:vAlign w:val="center"/>
          </w:tcPr>
          <w:p>
            <w:pPr>
              <w:pStyle w:val="27"/>
            </w:pPr>
            <w:r>
              <w:t>会议开展及时性</w:t>
            </w:r>
          </w:p>
        </w:tc>
        <w:tc>
          <w:tcPr>
            <w:tcW w:w="2551" w:type="dxa"/>
            <w:vAlign w:val="center"/>
          </w:tcPr>
          <w:p>
            <w:pPr>
              <w:pStyle w:val="27"/>
            </w:pPr>
            <w:r>
              <w:t>及时</w:t>
            </w:r>
          </w:p>
        </w:tc>
        <w:tc>
          <w:tcPr>
            <w:tcW w:w="2268" w:type="dxa"/>
            <w:vAlign w:val="center"/>
          </w:tcPr>
          <w:p>
            <w:pPr>
              <w:pStyle w:val="27"/>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人均会议成本</w:t>
            </w:r>
          </w:p>
        </w:tc>
        <w:tc>
          <w:tcPr>
            <w:tcW w:w="2835" w:type="dxa"/>
            <w:vAlign w:val="center"/>
          </w:tcPr>
          <w:p>
            <w:pPr>
              <w:pStyle w:val="27"/>
            </w:pPr>
            <w:r>
              <w:t>人均会议成本</w:t>
            </w:r>
          </w:p>
        </w:tc>
        <w:tc>
          <w:tcPr>
            <w:tcW w:w="2551" w:type="dxa"/>
            <w:vAlign w:val="center"/>
          </w:tcPr>
          <w:p>
            <w:pPr>
              <w:pStyle w:val="27"/>
            </w:pPr>
            <w:r>
              <w:t>≤450元</w:t>
            </w:r>
          </w:p>
        </w:tc>
        <w:tc>
          <w:tcPr>
            <w:tcW w:w="2268" w:type="dxa"/>
            <w:vAlign w:val="center"/>
          </w:tcPr>
          <w:p>
            <w:pPr>
              <w:pStyle w:val="27"/>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效益指标</w:t>
            </w:r>
          </w:p>
        </w:tc>
        <w:tc>
          <w:tcPr>
            <w:tcW w:w="2268" w:type="dxa"/>
            <w:vAlign w:val="center"/>
          </w:tcPr>
          <w:p>
            <w:pPr>
              <w:pStyle w:val="27"/>
            </w:pPr>
            <w:r>
              <w:t>经济效益指标</w:t>
            </w:r>
          </w:p>
        </w:tc>
        <w:tc>
          <w:tcPr>
            <w:tcW w:w="2835" w:type="dxa"/>
            <w:vAlign w:val="center"/>
          </w:tcPr>
          <w:p>
            <w:pPr>
              <w:pStyle w:val="27"/>
            </w:pPr>
            <w:r>
              <w:t>听取财政局报告</w:t>
            </w:r>
          </w:p>
        </w:tc>
        <w:tc>
          <w:tcPr>
            <w:tcW w:w="2835" w:type="dxa"/>
            <w:vAlign w:val="center"/>
          </w:tcPr>
          <w:p>
            <w:pPr>
              <w:pStyle w:val="27"/>
            </w:pPr>
            <w:r>
              <w:t>听取财政局报告</w:t>
            </w:r>
          </w:p>
        </w:tc>
        <w:tc>
          <w:tcPr>
            <w:tcW w:w="2551" w:type="dxa"/>
            <w:vAlign w:val="center"/>
          </w:tcPr>
          <w:p>
            <w:pPr>
              <w:pStyle w:val="27"/>
            </w:pPr>
            <w:r>
              <w:t>≥1个</w:t>
            </w:r>
          </w:p>
        </w:tc>
        <w:tc>
          <w:tcPr>
            <w:tcW w:w="2268" w:type="dxa"/>
            <w:vAlign w:val="center"/>
          </w:tcPr>
          <w:p>
            <w:pPr>
              <w:pStyle w:val="27"/>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经济效益指标</w:t>
            </w:r>
          </w:p>
        </w:tc>
        <w:tc>
          <w:tcPr>
            <w:tcW w:w="2835" w:type="dxa"/>
            <w:vAlign w:val="center"/>
          </w:tcPr>
          <w:p>
            <w:pPr>
              <w:pStyle w:val="27"/>
            </w:pPr>
            <w:r>
              <w:t>听取市政府工作报告</w:t>
            </w:r>
          </w:p>
        </w:tc>
        <w:tc>
          <w:tcPr>
            <w:tcW w:w="2835" w:type="dxa"/>
            <w:vAlign w:val="center"/>
          </w:tcPr>
          <w:p>
            <w:pPr>
              <w:pStyle w:val="27"/>
            </w:pPr>
            <w:r>
              <w:t>听取市政府工作报告</w:t>
            </w:r>
          </w:p>
        </w:tc>
        <w:tc>
          <w:tcPr>
            <w:tcW w:w="2551" w:type="dxa"/>
            <w:vAlign w:val="center"/>
          </w:tcPr>
          <w:p>
            <w:pPr>
              <w:pStyle w:val="27"/>
            </w:pPr>
            <w:r>
              <w:t>≥1个</w:t>
            </w:r>
          </w:p>
        </w:tc>
        <w:tc>
          <w:tcPr>
            <w:tcW w:w="2268" w:type="dxa"/>
            <w:vAlign w:val="center"/>
          </w:tcPr>
          <w:p>
            <w:pPr>
              <w:pStyle w:val="27"/>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社会效益指标</w:t>
            </w:r>
          </w:p>
        </w:tc>
        <w:tc>
          <w:tcPr>
            <w:tcW w:w="2835" w:type="dxa"/>
            <w:vAlign w:val="center"/>
          </w:tcPr>
          <w:p>
            <w:pPr>
              <w:pStyle w:val="27"/>
            </w:pPr>
            <w:r>
              <w:t>提升社会影响力</w:t>
            </w:r>
          </w:p>
        </w:tc>
        <w:tc>
          <w:tcPr>
            <w:tcW w:w="2835" w:type="dxa"/>
            <w:vAlign w:val="center"/>
          </w:tcPr>
          <w:p>
            <w:pPr>
              <w:pStyle w:val="27"/>
            </w:pPr>
            <w:r>
              <w:t>提升社会影响力</w:t>
            </w:r>
          </w:p>
        </w:tc>
        <w:tc>
          <w:tcPr>
            <w:tcW w:w="2551" w:type="dxa"/>
            <w:vAlign w:val="center"/>
          </w:tcPr>
          <w:p>
            <w:pPr>
              <w:pStyle w:val="27"/>
            </w:pPr>
            <w:r>
              <w:t>有效提升</w:t>
            </w:r>
          </w:p>
        </w:tc>
        <w:tc>
          <w:tcPr>
            <w:tcW w:w="2268" w:type="dxa"/>
            <w:vAlign w:val="center"/>
          </w:tcPr>
          <w:p>
            <w:pPr>
              <w:pStyle w:val="27"/>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社会效益指标</w:t>
            </w:r>
          </w:p>
        </w:tc>
        <w:tc>
          <w:tcPr>
            <w:tcW w:w="2835" w:type="dxa"/>
            <w:vAlign w:val="center"/>
          </w:tcPr>
          <w:p>
            <w:pPr>
              <w:pStyle w:val="27"/>
            </w:pPr>
            <w:r>
              <w:t>选举结果公开</w:t>
            </w:r>
          </w:p>
        </w:tc>
        <w:tc>
          <w:tcPr>
            <w:tcW w:w="2835" w:type="dxa"/>
            <w:vAlign w:val="center"/>
          </w:tcPr>
          <w:p>
            <w:pPr>
              <w:pStyle w:val="27"/>
            </w:pPr>
            <w:r>
              <w:t>选举结果公开</w:t>
            </w:r>
          </w:p>
        </w:tc>
        <w:tc>
          <w:tcPr>
            <w:tcW w:w="2551" w:type="dxa"/>
            <w:vAlign w:val="center"/>
          </w:tcPr>
          <w:p>
            <w:pPr>
              <w:pStyle w:val="27"/>
            </w:pPr>
            <w:r>
              <w:t>公开告知</w:t>
            </w:r>
          </w:p>
        </w:tc>
        <w:tc>
          <w:tcPr>
            <w:tcW w:w="2268" w:type="dxa"/>
            <w:vAlign w:val="center"/>
          </w:tcPr>
          <w:p>
            <w:pPr>
              <w:pStyle w:val="27"/>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社会效益指标</w:t>
            </w:r>
          </w:p>
        </w:tc>
        <w:tc>
          <w:tcPr>
            <w:tcW w:w="2835" w:type="dxa"/>
            <w:vAlign w:val="center"/>
          </w:tcPr>
          <w:p>
            <w:pPr>
              <w:pStyle w:val="27"/>
            </w:pPr>
            <w:r>
              <w:t>收集代表建议</w:t>
            </w:r>
          </w:p>
        </w:tc>
        <w:tc>
          <w:tcPr>
            <w:tcW w:w="2835" w:type="dxa"/>
            <w:vAlign w:val="center"/>
          </w:tcPr>
          <w:p>
            <w:pPr>
              <w:pStyle w:val="27"/>
            </w:pPr>
            <w:r>
              <w:t>收集代表建议</w:t>
            </w:r>
          </w:p>
        </w:tc>
        <w:tc>
          <w:tcPr>
            <w:tcW w:w="2551" w:type="dxa"/>
            <w:vAlign w:val="center"/>
          </w:tcPr>
          <w:p>
            <w:pPr>
              <w:pStyle w:val="27"/>
            </w:pPr>
            <w:r>
              <w:t>收集整理</w:t>
            </w:r>
          </w:p>
        </w:tc>
        <w:tc>
          <w:tcPr>
            <w:tcW w:w="2268" w:type="dxa"/>
            <w:vAlign w:val="center"/>
          </w:tcPr>
          <w:p>
            <w:pPr>
              <w:pStyle w:val="27"/>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生态效益指标</w:t>
            </w:r>
          </w:p>
        </w:tc>
        <w:tc>
          <w:tcPr>
            <w:tcW w:w="2835" w:type="dxa"/>
            <w:vAlign w:val="center"/>
          </w:tcPr>
          <w:p>
            <w:pPr>
              <w:pStyle w:val="27"/>
            </w:pPr>
            <w:r>
              <w:t>生态效益指标</w:t>
            </w:r>
          </w:p>
        </w:tc>
        <w:tc>
          <w:tcPr>
            <w:tcW w:w="2835" w:type="dxa"/>
            <w:vAlign w:val="center"/>
          </w:tcPr>
          <w:p>
            <w:pPr>
              <w:pStyle w:val="27"/>
            </w:pPr>
            <w:r>
              <w:t>生态效益指标</w:t>
            </w:r>
          </w:p>
        </w:tc>
        <w:tc>
          <w:tcPr>
            <w:tcW w:w="2551" w:type="dxa"/>
            <w:vAlign w:val="center"/>
          </w:tcPr>
          <w:p>
            <w:pPr>
              <w:pStyle w:val="27"/>
            </w:pPr>
            <w:r>
              <w:t>显著增强</w:t>
            </w:r>
          </w:p>
        </w:tc>
        <w:tc>
          <w:tcPr>
            <w:tcW w:w="2268" w:type="dxa"/>
            <w:vAlign w:val="center"/>
          </w:tcPr>
          <w:p>
            <w:pPr>
              <w:pStyle w:val="27"/>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可持续影响指标</w:t>
            </w:r>
          </w:p>
        </w:tc>
        <w:tc>
          <w:tcPr>
            <w:tcW w:w="2835" w:type="dxa"/>
            <w:vAlign w:val="center"/>
          </w:tcPr>
          <w:p>
            <w:pPr>
              <w:pStyle w:val="27"/>
            </w:pPr>
            <w:r>
              <w:t>可持续影响指标</w:t>
            </w:r>
          </w:p>
        </w:tc>
        <w:tc>
          <w:tcPr>
            <w:tcW w:w="2835" w:type="dxa"/>
            <w:vAlign w:val="center"/>
          </w:tcPr>
          <w:p>
            <w:pPr>
              <w:pStyle w:val="27"/>
            </w:pPr>
            <w:r>
              <w:t>可持续影响指标</w:t>
            </w:r>
          </w:p>
        </w:tc>
        <w:tc>
          <w:tcPr>
            <w:tcW w:w="2551" w:type="dxa"/>
            <w:vAlign w:val="center"/>
          </w:tcPr>
          <w:p>
            <w:pPr>
              <w:pStyle w:val="27"/>
            </w:pPr>
            <w:r>
              <w:t>长期规划</w:t>
            </w:r>
          </w:p>
        </w:tc>
        <w:tc>
          <w:tcPr>
            <w:tcW w:w="2268" w:type="dxa"/>
            <w:vAlign w:val="center"/>
          </w:tcPr>
          <w:p>
            <w:pPr>
              <w:pStyle w:val="27"/>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8"/>
            </w:pPr>
            <w:r>
              <w:t>满意度指标</w:t>
            </w:r>
          </w:p>
        </w:tc>
        <w:tc>
          <w:tcPr>
            <w:tcW w:w="2268" w:type="dxa"/>
            <w:vAlign w:val="center"/>
          </w:tcPr>
          <w:p>
            <w:pPr>
              <w:pStyle w:val="27"/>
            </w:pPr>
            <w:r>
              <w:t>服务对象满意度指标</w:t>
            </w:r>
          </w:p>
        </w:tc>
        <w:tc>
          <w:tcPr>
            <w:tcW w:w="2835" w:type="dxa"/>
            <w:vAlign w:val="center"/>
          </w:tcPr>
          <w:p>
            <w:pPr>
              <w:pStyle w:val="27"/>
            </w:pPr>
            <w:r>
              <w:t>参会人员满意度</w:t>
            </w:r>
          </w:p>
        </w:tc>
        <w:tc>
          <w:tcPr>
            <w:tcW w:w="2835" w:type="dxa"/>
            <w:vAlign w:val="center"/>
          </w:tcPr>
          <w:p>
            <w:pPr>
              <w:pStyle w:val="27"/>
            </w:pPr>
            <w:r>
              <w:t>参会代表、与会工作人员满意度</w:t>
            </w:r>
          </w:p>
        </w:tc>
        <w:tc>
          <w:tcPr>
            <w:tcW w:w="2551" w:type="dxa"/>
            <w:vAlign w:val="center"/>
          </w:tcPr>
          <w:p>
            <w:pPr>
              <w:pStyle w:val="27"/>
            </w:pPr>
            <w:r>
              <w:t>≥95%</w:t>
            </w:r>
          </w:p>
        </w:tc>
        <w:tc>
          <w:tcPr>
            <w:tcW w:w="2268" w:type="dxa"/>
            <w:vAlign w:val="center"/>
          </w:tcPr>
          <w:p>
            <w:pPr>
              <w:pStyle w:val="27"/>
            </w:pPr>
            <w:r>
              <w:t>年初工作要点</w:t>
            </w:r>
          </w:p>
        </w:tc>
      </w:tr>
    </w:tbl>
    <w:p>
      <w:pPr>
        <w:pStyle w:val="25"/>
      </w:pPr>
    </w:p>
    <w:p>
      <w:pPr>
        <w:pStyle w:val="25"/>
        <w:ind w:firstLine="560"/>
      </w:pPr>
      <w:r>
        <w:rPr>
          <w:rFonts w:ascii="方正仿宋_GBK" w:hAnsi="方正仿宋_GBK" w:eastAsia="方正仿宋_GBK" w:cs="方正仿宋_GBK"/>
          <w:b/>
          <w:color w:val="000000"/>
          <w:sz w:val="28"/>
        </w:rPr>
        <w:t>2、2022年度培训费项目绩效目标表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6"/>
            </w:pPr>
            <w:r>
              <w:t>绩效目标</w:t>
            </w:r>
          </w:p>
        </w:tc>
        <w:tc>
          <w:tcPr>
            <w:tcW w:w="12756" w:type="dxa"/>
            <w:tcBorders>
              <w:bottom w:val="single" w:color="FFFFFF" w:sz="6" w:space="0"/>
            </w:tcBorders>
            <w:vAlign w:val="center"/>
          </w:tcPr>
          <w:p>
            <w:pPr>
              <w:pStyle w:val="27"/>
            </w:pPr>
            <w:r>
              <w:t>1.目标内容1</w:t>
            </w:r>
          </w:p>
        </w:tc>
      </w:tr>
    </w:tbl>
    <w:p>
      <w:pPr>
        <w:pStyle w:val="25"/>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产出指标</w:t>
            </w:r>
          </w:p>
        </w:tc>
        <w:tc>
          <w:tcPr>
            <w:tcW w:w="2268" w:type="dxa"/>
            <w:vAlign w:val="center"/>
          </w:tcPr>
          <w:p>
            <w:pPr>
              <w:pStyle w:val="27"/>
            </w:pPr>
            <w:r>
              <w:t>数量指标</w:t>
            </w:r>
          </w:p>
        </w:tc>
        <w:tc>
          <w:tcPr>
            <w:tcW w:w="2835" w:type="dxa"/>
            <w:vAlign w:val="center"/>
          </w:tcPr>
          <w:p>
            <w:pPr>
              <w:pStyle w:val="27"/>
            </w:pPr>
            <w:r>
              <w:t>组织培训次数</w:t>
            </w:r>
          </w:p>
        </w:tc>
        <w:tc>
          <w:tcPr>
            <w:tcW w:w="2835" w:type="dxa"/>
            <w:vAlign w:val="center"/>
          </w:tcPr>
          <w:p>
            <w:pPr>
              <w:pStyle w:val="27"/>
            </w:pPr>
            <w:r>
              <w:t>组织培训次数</w:t>
            </w:r>
          </w:p>
        </w:tc>
        <w:tc>
          <w:tcPr>
            <w:tcW w:w="2551" w:type="dxa"/>
            <w:vAlign w:val="center"/>
          </w:tcPr>
          <w:p>
            <w:pPr>
              <w:pStyle w:val="27"/>
            </w:pPr>
            <w:r>
              <w:t>≥2次</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培训课程数量</w:t>
            </w:r>
          </w:p>
        </w:tc>
        <w:tc>
          <w:tcPr>
            <w:tcW w:w="2835" w:type="dxa"/>
            <w:vAlign w:val="center"/>
          </w:tcPr>
          <w:p>
            <w:pPr>
              <w:pStyle w:val="27"/>
            </w:pPr>
            <w:r>
              <w:t>课程培训数量</w:t>
            </w:r>
          </w:p>
        </w:tc>
        <w:tc>
          <w:tcPr>
            <w:tcW w:w="2551" w:type="dxa"/>
            <w:vAlign w:val="center"/>
          </w:tcPr>
          <w:p>
            <w:pPr>
              <w:pStyle w:val="27"/>
            </w:pPr>
            <w:r>
              <w:t>≥2节</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参与培训人数</w:t>
            </w:r>
          </w:p>
        </w:tc>
        <w:tc>
          <w:tcPr>
            <w:tcW w:w="2835" w:type="dxa"/>
            <w:vAlign w:val="center"/>
          </w:tcPr>
          <w:p>
            <w:pPr>
              <w:pStyle w:val="27"/>
            </w:pPr>
            <w:r>
              <w:t>参加培训的人数</w:t>
            </w:r>
          </w:p>
        </w:tc>
        <w:tc>
          <w:tcPr>
            <w:tcW w:w="2551" w:type="dxa"/>
            <w:vAlign w:val="center"/>
          </w:tcPr>
          <w:p>
            <w:pPr>
              <w:pStyle w:val="27"/>
            </w:pPr>
            <w:r>
              <w:t>≥50人</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培训持续天数</w:t>
            </w:r>
          </w:p>
        </w:tc>
        <w:tc>
          <w:tcPr>
            <w:tcW w:w="2835" w:type="dxa"/>
            <w:vAlign w:val="center"/>
          </w:tcPr>
          <w:p>
            <w:pPr>
              <w:pStyle w:val="27"/>
            </w:pPr>
            <w:r>
              <w:t>培训持续的天数</w:t>
            </w:r>
          </w:p>
        </w:tc>
        <w:tc>
          <w:tcPr>
            <w:tcW w:w="2551" w:type="dxa"/>
            <w:vAlign w:val="center"/>
          </w:tcPr>
          <w:p>
            <w:pPr>
              <w:pStyle w:val="27"/>
            </w:pPr>
            <w:r>
              <w:t>≥5天</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培训人员出勤率</w:t>
            </w:r>
          </w:p>
        </w:tc>
        <w:tc>
          <w:tcPr>
            <w:tcW w:w="2835" w:type="dxa"/>
            <w:vAlign w:val="center"/>
          </w:tcPr>
          <w:p>
            <w:pPr>
              <w:pStyle w:val="27"/>
            </w:pPr>
            <w:r>
              <w:t>参训人员出勤率=培训出勤人数/培训总人数*100%</w:t>
            </w:r>
          </w:p>
        </w:tc>
        <w:tc>
          <w:tcPr>
            <w:tcW w:w="2551" w:type="dxa"/>
            <w:vAlign w:val="center"/>
          </w:tcPr>
          <w:p>
            <w:pPr>
              <w:pStyle w:val="27"/>
            </w:pPr>
            <w:r>
              <w:t>≥95%</w:t>
            </w:r>
          </w:p>
        </w:tc>
        <w:tc>
          <w:tcPr>
            <w:tcW w:w="2268" w:type="dxa"/>
            <w:vAlign w:val="center"/>
          </w:tcPr>
          <w:p>
            <w:pPr>
              <w:pStyle w:val="27"/>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培训讲师资质</w:t>
            </w:r>
          </w:p>
        </w:tc>
        <w:tc>
          <w:tcPr>
            <w:tcW w:w="2835" w:type="dxa"/>
            <w:vAlign w:val="center"/>
          </w:tcPr>
          <w:p>
            <w:pPr>
              <w:pStyle w:val="27"/>
            </w:pPr>
            <w:r>
              <w:t>培训讲师资质情况是否达标</w:t>
            </w:r>
          </w:p>
        </w:tc>
        <w:tc>
          <w:tcPr>
            <w:tcW w:w="2551" w:type="dxa"/>
            <w:vAlign w:val="center"/>
          </w:tcPr>
          <w:p>
            <w:pPr>
              <w:pStyle w:val="27"/>
            </w:pPr>
            <w:r>
              <w:t>达标</w:t>
            </w:r>
          </w:p>
        </w:tc>
        <w:tc>
          <w:tcPr>
            <w:tcW w:w="2268" w:type="dxa"/>
            <w:vAlign w:val="center"/>
          </w:tcPr>
          <w:p>
            <w:pPr>
              <w:pStyle w:val="27"/>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培训人员合格率</w:t>
            </w:r>
          </w:p>
        </w:tc>
        <w:tc>
          <w:tcPr>
            <w:tcW w:w="2835" w:type="dxa"/>
            <w:vAlign w:val="center"/>
          </w:tcPr>
          <w:p>
            <w:pPr>
              <w:pStyle w:val="27"/>
            </w:pPr>
            <w:r>
              <w:t>培训人员合格率=培训合格人数/培训总人数*100%</w:t>
            </w:r>
          </w:p>
        </w:tc>
        <w:tc>
          <w:tcPr>
            <w:tcW w:w="2551" w:type="dxa"/>
            <w:vAlign w:val="center"/>
          </w:tcPr>
          <w:p>
            <w:pPr>
              <w:pStyle w:val="27"/>
            </w:pPr>
            <w:r>
              <w:t>≥95%</w:t>
            </w:r>
          </w:p>
        </w:tc>
        <w:tc>
          <w:tcPr>
            <w:tcW w:w="2268" w:type="dxa"/>
            <w:vAlign w:val="center"/>
          </w:tcPr>
          <w:p>
            <w:pPr>
              <w:pStyle w:val="27"/>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培训开展及时性</w:t>
            </w:r>
          </w:p>
        </w:tc>
        <w:tc>
          <w:tcPr>
            <w:tcW w:w="2835" w:type="dxa"/>
            <w:vAlign w:val="center"/>
          </w:tcPr>
          <w:p>
            <w:pPr>
              <w:pStyle w:val="27"/>
            </w:pPr>
            <w:r>
              <w:t>培训是否如期开展，按期完成。</w:t>
            </w:r>
          </w:p>
        </w:tc>
        <w:tc>
          <w:tcPr>
            <w:tcW w:w="2551" w:type="dxa"/>
            <w:vAlign w:val="center"/>
          </w:tcPr>
          <w:p>
            <w:pPr>
              <w:pStyle w:val="27"/>
            </w:pPr>
            <w:r>
              <w:t>如期举办</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人均培训成本</w:t>
            </w:r>
          </w:p>
        </w:tc>
        <w:tc>
          <w:tcPr>
            <w:tcW w:w="2835" w:type="dxa"/>
            <w:vAlign w:val="center"/>
          </w:tcPr>
          <w:p>
            <w:pPr>
              <w:pStyle w:val="27"/>
            </w:pPr>
            <w:r>
              <w:t>开展培训单位人员成本情况。</w:t>
            </w:r>
          </w:p>
        </w:tc>
        <w:tc>
          <w:tcPr>
            <w:tcW w:w="2551" w:type="dxa"/>
            <w:vAlign w:val="center"/>
          </w:tcPr>
          <w:p>
            <w:pPr>
              <w:pStyle w:val="27"/>
            </w:pPr>
            <w:r>
              <w:t>≤550元</w:t>
            </w:r>
          </w:p>
        </w:tc>
        <w:tc>
          <w:tcPr>
            <w:tcW w:w="2268" w:type="dxa"/>
            <w:vAlign w:val="center"/>
          </w:tcPr>
          <w:p>
            <w:pPr>
              <w:pStyle w:val="27"/>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效益指标</w:t>
            </w:r>
          </w:p>
        </w:tc>
        <w:tc>
          <w:tcPr>
            <w:tcW w:w="2268" w:type="dxa"/>
            <w:vAlign w:val="center"/>
          </w:tcPr>
          <w:p>
            <w:pPr>
              <w:pStyle w:val="27"/>
            </w:pPr>
            <w:r>
              <w:t>经济效益指标</w:t>
            </w:r>
          </w:p>
        </w:tc>
        <w:tc>
          <w:tcPr>
            <w:tcW w:w="2835" w:type="dxa"/>
            <w:vAlign w:val="center"/>
          </w:tcPr>
          <w:p>
            <w:pPr>
              <w:pStyle w:val="27"/>
            </w:pPr>
            <w:r>
              <w:t>经济效益增长</w:t>
            </w:r>
          </w:p>
        </w:tc>
        <w:tc>
          <w:tcPr>
            <w:tcW w:w="2835" w:type="dxa"/>
            <w:vAlign w:val="center"/>
          </w:tcPr>
          <w:p>
            <w:pPr>
              <w:pStyle w:val="27"/>
            </w:pPr>
            <w:r>
              <w:t>代表为我市经济发展建设提出建议、议案</w:t>
            </w:r>
          </w:p>
        </w:tc>
        <w:tc>
          <w:tcPr>
            <w:tcW w:w="2551" w:type="dxa"/>
            <w:vAlign w:val="center"/>
          </w:tcPr>
          <w:p>
            <w:pPr>
              <w:pStyle w:val="27"/>
            </w:pPr>
            <w:r>
              <w:t>水平提高</w:t>
            </w:r>
          </w:p>
        </w:tc>
        <w:tc>
          <w:tcPr>
            <w:tcW w:w="2268" w:type="dxa"/>
            <w:vAlign w:val="center"/>
          </w:tcPr>
          <w:p>
            <w:pPr>
              <w:pStyle w:val="2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社会效益指标</w:t>
            </w:r>
          </w:p>
        </w:tc>
        <w:tc>
          <w:tcPr>
            <w:tcW w:w="2835" w:type="dxa"/>
            <w:vAlign w:val="center"/>
          </w:tcPr>
          <w:p>
            <w:pPr>
              <w:pStyle w:val="27"/>
            </w:pPr>
            <w:r>
              <w:t>提升业务能力</w:t>
            </w:r>
          </w:p>
        </w:tc>
        <w:tc>
          <w:tcPr>
            <w:tcW w:w="2835" w:type="dxa"/>
            <w:vAlign w:val="center"/>
          </w:tcPr>
          <w:p>
            <w:pPr>
              <w:pStyle w:val="27"/>
            </w:pPr>
            <w:r>
              <w:t>参加培训人员业务提升情况</w:t>
            </w:r>
          </w:p>
        </w:tc>
        <w:tc>
          <w:tcPr>
            <w:tcW w:w="2551" w:type="dxa"/>
            <w:vAlign w:val="center"/>
          </w:tcPr>
          <w:p>
            <w:pPr>
              <w:pStyle w:val="27"/>
            </w:pPr>
            <w:r>
              <w:t>业务提升</w:t>
            </w:r>
          </w:p>
        </w:tc>
        <w:tc>
          <w:tcPr>
            <w:tcW w:w="2268" w:type="dxa"/>
            <w:vAlign w:val="center"/>
          </w:tcPr>
          <w:p>
            <w:pPr>
              <w:pStyle w:val="2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社会效益指标</w:t>
            </w:r>
          </w:p>
        </w:tc>
        <w:tc>
          <w:tcPr>
            <w:tcW w:w="2835" w:type="dxa"/>
            <w:vAlign w:val="center"/>
          </w:tcPr>
          <w:p>
            <w:pPr>
              <w:pStyle w:val="27"/>
            </w:pPr>
            <w:r>
              <w:t>培训人员获奖情况</w:t>
            </w:r>
          </w:p>
        </w:tc>
        <w:tc>
          <w:tcPr>
            <w:tcW w:w="2835" w:type="dxa"/>
            <w:vAlign w:val="center"/>
          </w:tcPr>
          <w:p>
            <w:pPr>
              <w:pStyle w:val="27"/>
            </w:pPr>
            <w:r>
              <w:t>参与培训人员在省、市被评为先进，获得省、市级奖项情况。</w:t>
            </w:r>
          </w:p>
        </w:tc>
        <w:tc>
          <w:tcPr>
            <w:tcW w:w="2551" w:type="dxa"/>
            <w:vAlign w:val="center"/>
          </w:tcPr>
          <w:p>
            <w:pPr>
              <w:pStyle w:val="27"/>
            </w:pPr>
            <w:r>
              <w:t>≥1人</w:t>
            </w:r>
          </w:p>
        </w:tc>
        <w:tc>
          <w:tcPr>
            <w:tcW w:w="2268" w:type="dxa"/>
            <w:vAlign w:val="center"/>
          </w:tcPr>
          <w:p>
            <w:pPr>
              <w:pStyle w:val="2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生态效益指标</w:t>
            </w:r>
          </w:p>
        </w:tc>
        <w:tc>
          <w:tcPr>
            <w:tcW w:w="2835" w:type="dxa"/>
            <w:vAlign w:val="center"/>
          </w:tcPr>
          <w:p>
            <w:pPr>
              <w:pStyle w:val="27"/>
            </w:pPr>
            <w:r>
              <w:t>生态环境保护</w:t>
            </w:r>
          </w:p>
        </w:tc>
        <w:tc>
          <w:tcPr>
            <w:tcW w:w="2835" w:type="dxa"/>
            <w:vAlign w:val="center"/>
          </w:tcPr>
          <w:p>
            <w:pPr>
              <w:pStyle w:val="27"/>
            </w:pPr>
            <w:r>
              <w:t>代表为我市环境发展、生态保护提出建议、议案</w:t>
            </w:r>
          </w:p>
        </w:tc>
        <w:tc>
          <w:tcPr>
            <w:tcW w:w="2551" w:type="dxa"/>
            <w:vAlign w:val="center"/>
          </w:tcPr>
          <w:p>
            <w:pPr>
              <w:pStyle w:val="27"/>
            </w:pPr>
            <w:r>
              <w:t>水平提高</w:t>
            </w:r>
          </w:p>
          <w:p>
            <w:pPr>
              <w:pStyle w:val="27"/>
            </w:pPr>
          </w:p>
        </w:tc>
        <w:tc>
          <w:tcPr>
            <w:tcW w:w="2268" w:type="dxa"/>
            <w:vAlign w:val="center"/>
          </w:tcPr>
          <w:p>
            <w:pPr>
              <w:pStyle w:val="2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可持续影响指标</w:t>
            </w:r>
          </w:p>
        </w:tc>
        <w:tc>
          <w:tcPr>
            <w:tcW w:w="2835" w:type="dxa"/>
            <w:vAlign w:val="center"/>
          </w:tcPr>
          <w:p>
            <w:pPr>
              <w:pStyle w:val="27"/>
            </w:pPr>
            <w:r>
              <w:t>提升长期竞争力</w:t>
            </w:r>
          </w:p>
        </w:tc>
        <w:tc>
          <w:tcPr>
            <w:tcW w:w="2835" w:type="dxa"/>
            <w:vAlign w:val="center"/>
          </w:tcPr>
          <w:p>
            <w:pPr>
              <w:pStyle w:val="27"/>
            </w:pPr>
            <w:r>
              <w:t>培训的开展是否有利于持续提升参训人员在同行业、同领域的竞争力。</w:t>
            </w:r>
          </w:p>
        </w:tc>
        <w:tc>
          <w:tcPr>
            <w:tcW w:w="2551" w:type="dxa"/>
            <w:vAlign w:val="center"/>
          </w:tcPr>
          <w:p>
            <w:pPr>
              <w:pStyle w:val="27"/>
            </w:pPr>
            <w:r>
              <w:t>有效提升</w:t>
            </w:r>
          </w:p>
        </w:tc>
        <w:tc>
          <w:tcPr>
            <w:tcW w:w="2268" w:type="dxa"/>
            <w:vAlign w:val="center"/>
          </w:tcPr>
          <w:p>
            <w:pPr>
              <w:pStyle w:val="2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满意度指标</w:t>
            </w:r>
          </w:p>
        </w:tc>
        <w:tc>
          <w:tcPr>
            <w:tcW w:w="2268" w:type="dxa"/>
            <w:vAlign w:val="center"/>
          </w:tcPr>
          <w:p>
            <w:pPr>
              <w:pStyle w:val="27"/>
            </w:pPr>
            <w:r>
              <w:t>服务对象满意度指标</w:t>
            </w:r>
          </w:p>
        </w:tc>
        <w:tc>
          <w:tcPr>
            <w:tcW w:w="2835" w:type="dxa"/>
            <w:vAlign w:val="center"/>
          </w:tcPr>
          <w:p>
            <w:pPr>
              <w:pStyle w:val="27"/>
            </w:pPr>
            <w:r>
              <w:t>服务代表满意度</w:t>
            </w:r>
          </w:p>
        </w:tc>
        <w:tc>
          <w:tcPr>
            <w:tcW w:w="2835" w:type="dxa"/>
            <w:vAlign w:val="center"/>
          </w:tcPr>
          <w:p>
            <w:pPr>
              <w:pStyle w:val="27"/>
            </w:pPr>
            <w:r>
              <w:t>参训代表满意度</w:t>
            </w:r>
          </w:p>
        </w:tc>
        <w:tc>
          <w:tcPr>
            <w:tcW w:w="2551" w:type="dxa"/>
            <w:vAlign w:val="center"/>
          </w:tcPr>
          <w:p>
            <w:pPr>
              <w:pStyle w:val="27"/>
            </w:pPr>
            <w:r>
              <w:t>≥95%</w:t>
            </w:r>
          </w:p>
        </w:tc>
        <w:tc>
          <w:tcPr>
            <w:tcW w:w="2268" w:type="dxa"/>
            <w:vAlign w:val="center"/>
          </w:tcPr>
          <w:p>
            <w:pPr>
              <w:pStyle w:val="2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服务对象满意度指标</w:t>
            </w:r>
          </w:p>
        </w:tc>
        <w:tc>
          <w:tcPr>
            <w:tcW w:w="2835" w:type="dxa"/>
            <w:vAlign w:val="center"/>
          </w:tcPr>
          <w:p>
            <w:pPr>
              <w:pStyle w:val="27"/>
            </w:pPr>
            <w:r>
              <w:t>服务机关工作人员满意度</w:t>
            </w:r>
          </w:p>
        </w:tc>
        <w:tc>
          <w:tcPr>
            <w:tcW w:w="2835" w:type="dxa"/>
            <w:vAlign w:val="center"/>
          </w:tcPr>
          <w:p>
            <w:pPr>
              <w:pStyle w:val="27"/>
            </w:pPr>
            <w:r>
              <w:t>参训机关工作人员满意度</w:t>
            </w:r>
          </w:p>
        </w:tc>
        <w:tc>
          <w:tcPr>
            <w:tcW w:w="2551" w:type="dxa"/>
            <w:vAlign w:val="center"/>
          </w:tcPr>
          <w:p>
            <w:pPr>
              <w:pStyle w:val="27"/>
            </w:pPr>
            <w:r>
              <w:t>≥95%</w:t>
            </w:r>
          </w:p>
        </w:tc>
        <w:tc>
          <w:tcPr>
            <w:tcW w:w="2268" w:type="dxa"/>
            <w:vAlign w:val="center"/>
          </w:tcPr>
          <w:p>
            <w:pPr>
              <w:pStyle w:val="27"/>
            </w:pPr>
            <w:r>
              <w:t>工作目标</w:t>
            </w:r>
          </w:p>
        </w:tc>
      </w:tr>
    </w:tbl>
    <w:p>
      <w:pPr>
        <w:pStyle w:val="25"/>
      </w:pPr>
    </w:p>
    <w:p>
      <w:pPr>
        <w:pStyle w:val="25"/>
        <w:ind w:firstLine="560"/>
      </w:pPr>
      <w:r>
        <w:rPr>
          <w:rFonts w:ascii="方正仿宋_GBK" w:hAnsi="方正仿宋_GBK" w:eastAsia="方正仿宋_GBK" w:cs="方正仿宋_GBK"/>
          <w:b/>
          <w:color w:val="000000"/>
          <w:sz w:val="28"/>
        </w:rPr>
        <w:t>3、2022年度人大专网维护费项目绩效目标表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6"/>
            </w:pPr>
            <w:r>
              <w:t>绩效目标</w:t>
            </w:r>
          </w:p>
        </w:tc>
        <w:tc>
          <w:tcPr>
            <w:tcW w:w="12756" w:type="dxa"/>
            <w:tcBorders>
              <w:bottom w:val="single" w:color="FFFFFF" w:sz="6" w:space="0"/>
            </w:tcBorders>
            <w:vAlign w:val="center"/>
          </w:tcPr>
          <w:p>
            <w:pPr>
              <w:pStyle w:val="27"/>
            </w:pPr>
            <w:r>
              <w:t>1.目标内容1</w:t>
            </w:r>
          </w:p>
        </w:tc>
      </w:tr>
    </w:tbl>
    <w:p>
      <w:pPr>
        <w:pStyle w:val="25"/>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产出指标</w:t>
            </w:r>
          </w:p>
        </w:tc>
        <w:tc>
          <w:tcPr>
            <w:tcW w:w="2268" w:type="dxa"/>
            <w:vAlign w:val="center"/>
          </w:tcPr>
          <w:p>
            <w:pPr>
              <w:pStyle w:val="27"/>
            </w:pPr>
            <w:r>
              <w:t>数量指标</w:t>
            </w:r>
          </w:p>
        </w:tc>
        <w:tc>
          <w:tcPr>
            <w:tcW w:w="2835" w:type="dxa"/>
            <w:vAlign w:val="center"/>
          </w:tcPr>
          <w:p>
            <w:pPr>
              <w:pStyle w:val="27"/>
            </w:pPr>
            <w:r>
              <w:t>门户网站维护数量</w:t>
            </w:r>
          </w:p>
        </w:tc>
        <w:tc>
          <w:tcPr>
            <w:tcW w:w="2835" w:type="dxa"/>
            <w:vAlign w:val="center"/>
          </w:tcPr>
          <w:p>
            <w:pPr>
              <w:pStyle w:val="27"/>
            </w:pPr>
            <w:r>
              <w:t>对人大常委会机关门户网站进行升级维护的次数、以及上传新闻稿件的数量</w:t>
            </w:r>
          </w:p>
        </w:tc>
        <w:tc>
          <w:tcPr>
            <w:tcW w:w="2551" w:type="dxa"/>
            <w:vAlign w:val="center"/>
          </w:tcPr>
          <w:p>
            <w:pPr>
              <w:pStyle w:val="27"/>
            </w:pPr>
            <w:r>
              <w:t>≥1次</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机要保密系统建设及维护数量</w:t>
            </w:r>
          </w:p>
        </w:tc>
        <w:tc>
          <w:tcPr>
            <w:tcW w:w="2835" w:type="dxa"/>
            <w:vAlign w:val="center"/>
          </w:tcPr>
          <w:p>
            <w:pPr>
              <w:pStyle w:val="27"/>
            </w:pPr>
            <w:r>
              <w:t>机要保密系统建设数量及年度内维护数量</w:t>
            </w:r>
          </w:p>
        </w:tc>
        <w:tc>
          <w:tcPr>
            <w:tcW w:w="2551" w:type="dxa"/>
            <w:vAlign w:val="center"/>
          </w:tcPr>
          <w:p>
            <w:pPr>
              <w:pStyle w:val="27"/>
            </w:pPr>
            <w:r>
              <w:t>≥1次</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保障红机电话通讯</w:t>
            </w:r>
          </w:p>
        </w:tc>
        <w:tc>
          <w:tcPr>
            <w:tcW w:w="2835" w:type="dxa"/>
            <w:vAlign w:val="center"/>
          </w:tcPr>
          <w:p>
            <w:pPr>
              <w:pStyle w:val="27"/>
            </w:pPr>
            <w:r>
              <w:t>保障机关所有红机电话正常使用、通话畅通</w:t>
            </w:r>
          </w:p>
        </w:tc>
        <w:tc>
          <w:tcPr>
            <w:tcW w:w="2551" w:type="dxa"/>
            <w:vAlign w:val="center"/>
          </w:tcPr>
          <w:p>
            <w:pPr>
              <w:pStyle w:val="27"/>
            </w:pPr>
            <w:r>
              <w:t>畅通</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保障视频会议召开</w:t>
            </w:r>
          </w:p>
        </w:tc>
        <w:tc>
          <w:tcPr>
            <w:tcW w:w="2835" w:type="dxa"/>
            <w:vAlign w:val="center"/>
          </w:tcPr>
          <w:p>
            <w:pPr>
              <w:pStyle w:val="27"/>
            </w:pPr>
            <w:r>
              <w:t>保障常委会机关组织召开的视频会议线路顺畅、信号正常</w:t>
            </w:r>
          </w:p>
        </w:tc>
        <w:tc>
          <w:tcPr>
            <w:tcW w:w="2551" w:type="dxa"/>
            <w:vAlign w:val="center"/>
          </w:tcPr>
          <w:p>
            <w:pPr>
              <w:pStyle w:val="27"/>
            </w:pPr>
            <w:r>
              <w:t>顺利</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保障门户网站正常运转及更新</w:t>
            </w:r>
          </w:p>
        </w:tc>
        <w:tc>
          <w:tcPr>
            <w:tcW w:w="2835" w:type="dxa"/>
            <w:vAlign w:val="center"/>
          </w:tcPr>
          <w:p>
            <w:pPr>
              <w:pStyle w:val="27"/>
            </w:pPr>
            <w:r>
              <w:t>与承德日报社签订合同，对门户网站进行升级维护，保障常委会机关门户网站正常运转</w:t>
            </w:r>
          </w:p>
        </w:tc>
        <w:tc>
          <w:tcPr>
            <w:tcW w:w="2551" w:type="dxa"/>
            <w:vAlign w:val="center"/>
          </w:tcPr>
          <w:p>
            <w:pPr>
              <w:pStyle w:val="27"/>
            </w:pPr>
            <w:r>
              <w:t>保障</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机要保密系统正常运转</w:t>
            </w:r>
          </w:p>
        </w:tc>
        <w:tc>
          <w:tcPr>
            <w:tcW w:w="2835" w:type="dxa"/>
            <w:vAlign w:val="center"/>
          </w:tcPr>
          <w:p>
            <w:pPr>
              <w:pStyle w:val="27"/>
            </w:pPr>
            <w:r>
              <w:t>对机要保密系统进行建设，并进行日常维护</w:t>
            </w:r>
          </w:p>
        </w:tc>
        <w:tc>
          <w:tcPr>
            <w:tcW w:w="2551" w:type="dxa"/>
            <w:vAlign w:val="center"/>
          </w:tcPr>
          <w:p>
            <w:pPr>
              <w:pStyle w:val="27"/>
            </w:pPr>
            <w:r>
              <w:t>正常</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报道首发率</w:t>
            </w:r>
          </w:p>
        </w:tc>
        <w:tc>
          <w:tcPr>
            <w:tcW w:w="2835" w:type="dxa"/>
            <w:vAlign w:val="center"/>
          </w:tcPr>
          <w:p>
            <w:pPr>
              <w:pStyle w:val="27"/>
            </w:pPr>
            <w:r>
              <w:t>报道首发率=常委会发表的新闻稿、信息首发数量/所有公开发表的新闻稿、信息数量</w:t>
            </w:r>
          </w:p>
        </w:tc>
        <w:tc>
          <w:tcPr>
            <w:tcW w:w="2551" w:type="dxa"/>
            <w:vAlign w:val="center"/>
          </w:tcPr>
          <w:p>
            <w:pPr>
              <w:pStyle w:val="27"/>
            </w:pPr>
            <w:r>
              <w:t>≥95%</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会议召开时效性</w:t>
            </w:r>
          </w:p>
        </w:tc>
        <w:tc>
          <w:tcPr>
            <w:tcW w:w="2835" w:type="dxa"/>
            <w:vAlign w:val="center"/>
          </w:tcPr>
          <w:p>
            <w:pPr>
              <w:pStyle w:val="27"/>
            </w:pPr>
            <w:r>
              <w:t>常委会组织召开云视频会议、以及参加省人大组织召开云视频会议的及时性</w:t>
            </w:r>
          </w:p>
        </w:tc>
        <w:tc>
          <w:tcPr>
            <w:tcW w:w="2551" w:type="dxa"/>
            <w:vAlign w:val="center"/>
          </w:tcPr>
          <w:p>
            <w:pPr>
              <w:pStyle w:val="27"/>
            </w:pPr>
            <w:r>
              <w:t>及时性</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系统安装 /维护及时性</w:t>
            </w:r>
          </w:p>
        </w:tc>
        <w:tc>
          <w:tcPr>
            <w:tcW w:w="2835" w:type="dxa"/>
            <w:vAlign w:val="center"/>
          </w:tcPr>
          <w:p>
            <w:pPr>
              <w:pStyle w:val="27"/>
            </w:pPr>
            <w:r>
              <w:t>系统在规定时间内安装/维护，不延期</w:t>
            </w:r>
          </w:p>
        </w:tc>
        <w:tc>
          <w:tcPr>
            <w:tcW w:w="2551" w:type="dxa"/>
            <w:vAlign w:val="center"/>
          </w:tcPr>
          <w:p>
            <w:pPr>
              <w:pStyle w:val="27"/>
            </w:pPr>
            <w:r>
              <w:t>及时性</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线路租用成本</w:t>
            </w:r>
          </w:p>
        </w:tc>
        <w:tc>
          <w:tcPr>
            <w:tcW w:w="2835" w:type="dxa"/>
            <w:vAlign w:val="center"/>
          </w:tcPr>
          <w:p>
            <w:pPr>
              <w:pStyle w:val="27"/>
            </w:pPr>
            <w:r>
              <w:t>视频会议召开时，线路租用成本</w:t>
            </w:r>
          </w:p>
        </w:tc>
        <w:tc>
          <w:tcPr>
            <w:tcW w:w="2551" w:type="dxa"/>
            <w:vAlign w:val="center"/>
          </w:tcPr>
          <w:p>
            <w:pPr>
              <w:pStyle w:val="27"/>
            </w:pPr>
            <w:r>
              <w:t>≤4万元</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系统采购成本</w:t>
            </w:r>
          </w:p>
        </w:tc>
        <w:tc>
          <w:tcPr>
            <w:tcW w:w="2835" w:type="dxa"/>
            <w:vAlign w:val="center"/>
          </w:tcPr>
          <w:p>
            <w:pPr>
              <w:pStyle w:val="27"/>
            </w:pPr>
            <w:r>
              <w:t>机要保密系统采购、安装、维护成本</w:t>
            </w:r>
          </w:p>
        </w:tc>
        <w:tc>
          <w:tcPr>
            <w:tcW w:w="2551" w:type="dxa"/>
            <w:vAlign w:val="center"/>
          </w:tcPr>
          <w:p>
            <w:pPr>
              <w:pStyle w:val="27"/>
            </w:pPr>
            <w:r>
              <w:t>≤3万元</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年度维护成本增长率</w:t>
            </w:r>
          </w:p>
        </w:tc>
        <w:tc>
          <w:tcPr>
            <w:tcW w:w="2835" w:type="dxa"/>
            <w:vAlign w:val="center"/>
          </w:tcPr>
          <w:p>
            <w:pPr>
              <w:pStyle w:val="27"/>
            </w:pPr>
            <w:r>
              <w:t>人大门户网站年度维护成本增长率=（本年度维护成本-上年度维护成本）/上年度维护成本*100%</w:t>
            </w:r>
          </w:p>
        </w:tc>
        <w:tc>
          <w:tcPr>
            <w:tcW w:w="2551" w:type="dxa"/>
            <w:vAlign w:val="center"/>
          </w:tcPr>
          <w:p>
            <w:pPr>
              <w:pStyle w:val="27"/>
            </w:pPr>
            <w:r>
              <w:t>≤5%</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成本控制率</w:t>
            </w:r>
          </w:p>
        </w:tc>
        <w:tc>
          <w:tcPr>
            <w:tcW w:w="2835" w:type="dxa"/>
            <w:vAlign w:val="center"/>
          </w:tcPr>
          <w:p>
            <w:pPr>
              <w:pStyle w:val="27"/>
            </w:pPr>
            <w:r>
              <w:t>红机电话成本控制率=实际支出数/预算下达数*100%</w:t>
            </w:r>
          </w:p>
        </w:tc>
        <w:tc>
          <w:tcPr>
            <w:tcW w:w="2551" w:type="dxa"/>
            <w:vAlign w:val="center"/>
          </w:tcPr>
          <w:p>
            <w:pPr>
              <w:pStyle w:val="27"/>
            </w:pPr>
            <w:r>
              <w:t>≤10%</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效益指标</w:t>
            </w:r>
          </w:p>
        </w:tc>
        <w:tc>
          <w:tcPr>
            <w:tcW w:w="2268" w:type="dxa"/>
            <w:vAlign w:val="center"/>
          </w:tcPr>
          <w:p>
            <w:pPr>
              <w:pStyle w:val="27"/>
            </w:pPr>
            <w:r>
              <w:t>经济效益指标</w:t>
            </w:r>
          </w:p>
        </w:tc>
        <w:tc>
          <w:tcPr>
            <w:tcW w:w="2835" w:type="dxa"/>
            <w:vAlign w:val="center"/>
          </w:tcPr>
          <w:p>
            <w:pPr>
              <w:pStyle w:val="27"/>
            </w:pPr>
            <w:r>
              <w:t>提升工作效率</w:t>
            </w:r>
          </w:p>
        </w:tc>
        <w:tc>
          <w:tcPr>
            <w:tcW w:w="2835" w:type="dxa"/>
            <w:vAlign w:val="center"/>
          </w:tcPr>
          <w:p>
            <w:pPr>
              <w:pStyle w:val="27"/>
            </w:pPr>
            <w:r>
              <w:t>设备购置对工作效率带来的提升</w:t>
            </w:r>
          </w:p>
        </w:tc>
        <w:tc>
          <w:tcPr>
            <w:tcW w:w="2551" w:type="dxa"/>
            <w:vAlign w:val="center"/>
          </w:tcPr>
          <w:p>
            <w:pPr>
              <w:pStyle w:val="27"/>
            </w:pPr>
            <w:r>
              <w:t>提升</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社会效益指标</w:t>
            </w:r>
          </w:p>
        </w:tc>
        <w:tc>
          <w:tcPr>
            <w:tcW w:w="2835" w:type="dxa"/>
            <w:vAlign w:val="center"/>
          </w:tcPr>
          <w:p>
            <w:pPr>
              <w:pStyle w:val="27"/>
            </w:pPr>
            <w:r>
              <w:t>提高机要工作水平</w:t>
            </w:r>
          </w:p>
        </w:tc>
        <w:tc>
          <w:tcPr>
            <w:tcW w:w="2835" w:type="dxa"/>
            <w:vAlign w:val="center"/>
          </w:tcPr>
          <w:p>
            <w:pPr>
              <w:pStyle w:val="27"/>
            </w:pPr>
            <w:r>
              <w:t>保密系统的建设完善，将提高机要工作的保障</w:t>
            </w:r>
          </w:p>
        </w:tc>
        <w:tc>
          <w:tcPr>
            <w:tcW w:w="2551" w:type="dxa"/>
            <w:vAlign w:val="center"/>
          </w:tcPr>
          <w:p>
            <w:pPr>
              <w:pStyle w:val="27"/>
            </w:pPr>
            <w:r>
              <w:t>提高、</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社会效益指标</w:t>
            </w:r>
          </w:p>
        </w:tc>
        <w:tc>
          <w:tcPr>
            <w:tcW w:w="2835" w:type="dxa"/>
            <w:vAlign w:val="center"/>
          </w:tcPr>
          <w:p>
            <w:pPr>
              <w:pStyle w:val="27"/>
            </w:pPr>
            <w:r>
              <w:t>提高保密工作水平</w:t>
            </w:r>
          </w:p>
        </w:tc>
        <w:tc>
          <w:tcPr>
            <w:tcW w:w="2835" w:type="dxa"/>
            <w:vAlign w:val="center"/>
          </w:tcPr>
          <w:p>
            <w:pPr>
              <w:pStyle w:val="27"/>
            </w:pPr>
            <w:r>
              <w:t>红机电话的正常使用，将保密工作进一步提升</w:t>
            </w:r>
          </w:p>
        </w:tc>
        <w:tc>
          <w:tcPr>
            <w:tcW w:w="2551" w:type="dxa"/>
            <w:vAlign w:val="center"/>
          </w:tcPr>
          <w:p>
            <w:pPr>
              <w:pStyle w:val="27"/>
            </w:pPr>
            <w:r>
              <w:t>提升</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社会效益指标</w:t>
            </w:r>
          </w:p>
        </w:tc>
        <w:tc>
          <w:tcPr>
            <w:tcW w:w="2835" w:type="dxa"/>
            <w:vAlign w:val="center"/>
          </w:tcPr>
          <w:p>
            <w:pPr>
              <w:pStyle w:val="27"/>
            </w:pPr>
            <w:r>
              <w:t>提升网络安全故障处理能力</w:t>
            </w:r>
          </w:p>
        </w:tc>
        <w:tc>
          <w:tcPr>
            <w:tcW w:w="2835" w:type="dxa"/>
            <w:vAlign w:val="center"/>
          </w:tcPr>
          <w:p>
            <w:pPr>
              <w:pStyle w:val="27"/>
            </w:pPr>
            <w:r>
              <w:t>提升网络安全故障处理能力</w:t>
            </w:r>
          </w:p>
        </w:tc>
        <w:tc>
          <w:tcPr>
            <w:tcW w:w="2551" w:type="dxa"/>
            <w:vAlign w:val="center"/>
          </w:tcPr>
          <w:p>
            <w:pPr>
              <w:pStyle w:val="27"/>
            </w:pPr>
            <w:r>
              <w:t>提升</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社会效益指标</w:t>
            </w:r>
          </w:p>
        </w:tc>
        <w:tc>
          <w:tcPr>
            <w:tcW w:w="2835" w:type="dxa"/>
            <w:vAlign w:val="center"/>
          </w:tcPr>
          <w:p>
            <w:pPr>
              <w:pStyle w:val="27"/>
            </w:pPr>
            <w:r>
              <w:t>满足人大宣传需求</w:t>
            </w:r>
          </w:p>
        </w:tc>
        <w:tc>
          <w:tcPr>
            <w:tcW w:w="2835" w:type="dxa"/>
            <w:vAlign w:val="center"/>
          </w:tcPr>
          <w:p>
            <w:pPr>
              <w:pStyle w:val="27"/>
            </w:pPr>
            <w:r>
              <w:t>按时、保质保量的完成信息宣传工作，为新时期人大工作做好舆论工作。</w:t>
            </w:r>
          </w:p>
        </w:tc>
        <w:tc>
          <w:tcPr>
            <w:tcW w:w="2551" w:type="dxa"/>
            <w:vAlign w:val="center"/>
          </w:tcPr>
          <w:p>
            <w:pPr>
              <w:pStyle w:val="27"/>
            </w:pPr>
            <w:r>
              <w:t>满足</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可持续影响指标</w:t>
            </w:r>
          </w:p>
        </w:tc>
        <w:tc>
          <w:tcPr>
            <w:tcW w:w="2835" w:type="dxa"/>
            <w:vAlign w:val="center"/>
          </w:tcPr>
          <w:p>
            <w:pPr>
              <w:pStyle w:val="27"/>
            </w:pPr>
            <w:r>
              <w:t>可持续影响时限</w:t>
            </w:r>
          </w:p>
        </w:tc>
        <w:tc>
          <w:tcPr>
            <w:tcW w:w="2835" w:type="dxa"/>
            <w:vAlign w:val="center"/>
          </w:tcPr>
          <w:p>
            <w:pPr>
              <w:pStyle w:val="27"/>
            </w:pPr>
            <w:r>
              <w:t>系统建成能够提供长期稳定服务，保障机要保密工作顺利进行，保障人大工作正常运转。</w:t>
            </w:r>
          </w:p>
        </w:tc>
        <w:tc>
          <w:tcPr>
            <w:tcW w:w="2551" w:type="dxa"/>
            <w:vAlign w:val="center"/>
          </w:tcPr>
          <w:p>
            <w:pPr>
              <w:pStyle w:val="27"/>
            </w:pPr>
            <w:r>
              <w:t>长期</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可持续影响指标</w:t>
            </w:r>
          </w:p>
        </w:tc>
        <w:tc>
          <w:tcPr>
            <w:tcW w:w="2835" w:type="dxa"/>
            <w:vAlign w:val="center"/>
          </w:tcPr>
          <w:p>
            <w:pPr>
              <w:pStyle w:val="27"/>
            </w:pPr>
            <w:r>
              <w:t>可持续影响时限</w:t>
            </w:r>
          </w:p>
        </w:tc>
        <w:tc>
          <w:tcPr>
            <w:tcW w:w="2835" w:type="dxa"/>
            <w:vAlign w:val="center"/>
          </w:tcPr>
          <w:p>
            <w:pPr>
              <w:pStyle w:val="27"/>
            </w:pPr>
            <w:r>
              <w:t>在人大门户网站上发布的信息，受关注时长</w:t>
            </w:r>
          </w:p>
        </w:tc>
        <w:tc>
          <w:tcPr>
            <w:tcW w:w="2551" w:type="dxa"/>
            <w:vAlign w:val="center"/>
          </w:tcPr>
          <w:p>
            <w:pPr>
              <w:pStyle w:val="27"/>
            </w:pPr>
            <w:r>
              <w:t>≥24小时</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8"/>
            </w:pPr>
            <w:r>
              <w:t>满意度指标</w:t>
            </w:r>
          </w:p>
        </w:tc>
        <w:tc>
          <w:tcPr>
            <w:tcW w:w="2268" w:type="dxa"/>
            <w:vAlign w:val="center"/>
          </w:tcPr>
          <w:p>
            <w:pPr>
              <w:pStyle w:val="27"/>
            </w:pPr>
            <w:r>
              <w:t>服务对象满意度指标</w:t>
            </w:r>
          </w:p>
        </w:tc>
        <w:tc>
          <w:tcPr>
            <w:tcW w:w="2835" w:type="dxa"/>
            <w:vAlign w:val="center"/>
          </w:tcPr>
          <w:p>
            <w:pPr>
              <w:pStyle w:val="27"/>
            </w:pPr>
            <w:r>
              <w:t>服务人员满意度</w:t>
            </w:r>
          </w:p>
        </w:tc>
        <w:tc>
          <w:tcPr>
            <w:tcW w:w="2835" w:type="dxa"/>
            <w:vAlign w:val="center"/>
          </w:tcPr>
          <w:p>
            <w:pPr>
              <w:pStyle w:val="27"/>
            </w:pPr>
            <w:r>
              <w:t>受众人群满意度</w:t>
            </w:r>
          </w:p>
        </w:tc>
        <w:tc>
          <w:tcPr>
            <w:tcW w:w="2551" w:type="dxa"/>
            <w:vAlign w:val="center"/>
          </w:tcPr>
          <w:p>
            <w:pPr>
              <w:pStyle w:val="27"/>
            </w:pPr>
            <w:r>
              <w:t>≥95%</w:t>
            </w:r>
          </w:p>
        </w:tc>
        <w:tc>
          <w:tcPr>
            <w:tcW w:w="2268" w:type="dxa"/>
            <w:vAlign w:val="center"/>
          </w:tcPr>
          <w:p>
            <w:pPr>
              <w:pStyle w:val="27"/>
            </w:pPr>
            <w:r>
              <w:t>年初工作安排</w:t>
            </w:r>
          </w:p>
        </w:tc>
      </w:tr>
    </w:tbl>
    <w:p>
      <w:pPr>
        <w:pStyle w:val="25"/>
      </w:pPr>
    </w:p>
    <w:p>
      <w:pPr>
        <w:pStyle w:val="25"/>
        <w:ind w:firstLine="560"/>
      </w:pPr>
      <w:r>
        <w:rPr>
          <w:rFonts w:ascii="方正仿宋_GBK" w:hAnsi="方正仿宋_GBK" w:eastAsia="方正仿宋_GBK" w:cs="方正仿宋_GBK"/>
          <w:b/>
          <w:color w:val="000000"/>
          <w:sz w:val="28"/>
        </w:rPr>
        <w:t>4、2022年度视察议政业务费绩效目标表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6"/>
            </w:pPr>
            <w:r>
              <w:t>绩效目标</w:t>
            </w:r>
          </w:p>
        </w:tc>
        <w:tc>
          <w:tcPr>
            <w:tcW w:w="12756" w:type="dxa"/>
            <w:tcBorders>
              <w:bottom w:val="single" w:color="FFFFFF" w:sz="6" w:space="0"/>
            </w:tcBorders>
            <w:vAlign w:val="center"/>
          </w:tcPr>
          <w:p>
            <w:pPr>
              <w:pStyle w:val="27"/>
            </w:pPr>
            <w:r>
              <w:t>1.目标内容1</w:t>
            </w:r>
          </w:p>
        </w:tc>
      </w:tr>
    </w:tbl>
    <w:p>
      <w:pPr>
        <w:pStyle w:val="25"/>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产出指标</w:t>
            </w:r>
          </w:p>
        </w:tc>
        <w:tc>
          <w:tcPr>
            <w:tcW w:w="2268" w:type="dxa"/>
            <w:vAlign w:val="center"/>
          </w:tcPr>
          <w:p>
            <w:pPr>
              <w:pStyle w:val="27"/>
            </w:pPr>
            <w:r>
              <w:t>数量指标</w:t>
            </w:r>
          </w:p>
        </w:tc>
        <w:tc>
          <w:tcPr>
            <w:tcW w:w="2835" w:type="dxa"/>
            <w:vAlign w:val="center"/>
          </w:tcPr>
          <w:p>
            <w:pPr>
              <w:pStyle w:val="27"/>
            </w:pPr>
          </w:p>
          <w:p>
            <w:pPr>
              <w:pStyle w:val="27"/>
            </w:pPr>
            <w:r>
              <w:t>订阅《公民与法治》</w:t>
            </w:r>
          </w:p>
        </w:tc>
        <w:tc>
          <w:tcPr>
            <w:tcW w:w="2835" w:type="dxa"/>
            <w:vAlign w:val="center"/>
          </w:tcPr>
          <w:p>
            <w:pPr>
              <w:pStyle w:val="27"/>
            </w:pPr>
          </w:p>
          <w:p>
            <w:pPr>
              <w:pStyle w:val="27"/>
            </w:pPr>
            <w:r>
              <w:t>订阅《公民与法治》数量</w:t>
            </w:r>
          </w:p>
        </w:tc>
        <w:tc>
          <w:tcPr>
            <w:tcW w:w="2551" w:type="dxa"/>
            <w:vAlign w:val="center"/>
          </w:tcPr>
          <w:p>
            <w:pPr>
              <w:pStyle w:val="27"/>
            </w:pPr>
            <w:r>
              <w:t>≥8000本</w:t>
            </w:r>
          </w:p>
        </w:tc>
        <w:tc>
          <w:tcPr>
            <w:tcW w:w="2268" w:type="dxa"/>
            <w:vAlign w:val="center"/>
          </w:tcPr>
          <w:p>
            <w:pPr>
              <w:pStyle w:val="2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订阅《中国人大》</w:t>
            </w:r>
          </w:p>
        </w:tc>
        <w:tc>
          <w:tcPr>
            <w:tcW w:w="2835" w:type="dxa"/>
            <w:vAlign w:val="center"/>
          </w:tcPr>
          <w:p>
            <w:pPr>
              <w:pStyle w:val="27"/>
            </w:pPr>
            <w:r>
              <w:t>订阅《中国人大》数量</w:t>
            </w:r>
          </w:p>
        </w:tc>
        <w:tc>
          <w:tcPr>
            <w:tcW w:w="2551" w:type="dxa"/>
            <w:vAlign w:val="center"/>
          </w:tcPr>
          <w:p>
            <w:pPr>
              <w:pStyle w:val="27"/>
            </w:pPr>
            <w:r>
              <w:t>≥8000本</w:t>
            </w:r>
          </w:p>
        </w:tc>
        <w:tc>
          <w:tcPr>
            <w:tcW w:w="2268" w:type="dxa"/>
            <w:vAlign w:val="center"/>
          </w:tcPr>
          <w:p>
            <w:pPr>
              <w:pStyle w:val="2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代表活动经费</w:t>
            </w:r>
          </w:p>
        </w:tc>
        <w:tc>
          <w:tcPr>
            <w:tcW w:w="2835" w:type="dxa"/>
            <w:vAlign w:val="center"/>
          </w:tcPr>
          <w:p>
            <w:pPr>
              <w:pStyle w:val="27"/>
            </w:pPr>
            <w:r>
              <w:t>向各县区下拨年度代表活动经费</w:t>
            </w:r>
          </w:p>
        </w:tc>
        <w:tc>
          <w:tcPr>
            <w:tcW w:w="2551" w:type="dxa"/>
            <w:vAlign w:val="center"/>
          </w:tcPr>
          <w:p>
            <w:pPr>
              <w:pStyle w:val="27"/>
            </w:pPr>
            <w:r>
              <w:t>≥20万元</w:t>
            </w:r>
          </w:p>
        </w:tc>
        <w:tc>
          <w:tcPr>
            <w:tcW w:w="2268" w:type="dxa"/>
            <w:vAlign w:val="center"/>
          </w:tcPr>
          <w:p>
            <w:pPr>
              <w:pStyle w:val="2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代表订阅覆盖率</w:t>
            </w:r>
          </w:p>
        </w:tc>
        <w:tc>
          <w:tcPr>
            <w:tcW w:w="2835" w:type="dxa"/>
            <w:vAlign w:val="center"/>
          </w:tcPr>
          <w:p>
            <w:pPr>
              <w:pStyle w:val="27"/>
            </w:pPr>
            <w:r>
              <w:t>代表订阅覆盖率</w:t>
            </w:r>
          </w:p>
        </w:tc>
        <w:tc>
          <w:tcPr>
            <w:tcW w:w="2551" w:type="dxa"/>
            <w:vAlign w:val="center"/>
          </w:tcPr>
          <w:p>
            <w:pPr>
              <w:pStyle w:val="27"/>
            </w:pPr>
            <w:r>
              <w:t>≥95%</w:t>
            </w:r>
          </w:p>
        </w:tc>
        <w:tc>
          <w:tcPr>
            <w:tcW w:w="2268" w:type="dxa"/>
            <w:vAlign w:val="center"/>
          </w:tcPr>
          <w:p>
            <w:pPr>
              <w:pStyle w:val="2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县区订阅覆盖率</w:t>
            </w:r>
          </w:p>
        </w:tc>
        <w:tc>
          <w:tcPr>
            <w:tcW w:w="2835" w:type="dxa"/>
            <w:vAlign w:val="center"/>
          </w:tcPr>
          <w:p>
            <w:pPr>
              <w:pStyle w:val="27"/>
            </w:pPr>
            <w:r>
              <w:t>县区订阅覆盖率</w:t>
            </w:r>
          </w:p>
        </w:tc>
        <w:tc>
          <w:tcPr>
            <w:tcW w:w="2551" w:type="dxa"/>
            <w:vAlign w:val="center"/>
          </w:tcPr>
          <w:p>
            <w:pPr>
              <w:pStyle w:val="27"/>
            </w:pPr>
            <w:r>
              <w:t>≥95%</w:t>
            </w:r>
          </w:p>
        </w:tc>
        <w:tc>
          <w:tcPr>
            <w:tcW w:w="2268" w:type="dxa"/>
            <w:vAlign w:val="center"/>
          </w:tcPr>
          <w:p>
            <w:pPr>
              <w:pStyle w:val="2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代表开展活动</w:t>
            </w:r>
          </w:p>
        </w:tc>
        <w:tc>
          <w:tcPr>
            <w:tcW w:w="2835" w:type="dxa"/>
            <w:vAlign w:val="center"/>
          </w:tcPr>
          <w:p>
            <w:pPr>
              <w:pStyle w:val="27"/>
            </w:pPr>
            <w:r>
              <w:t>组织代表开展活动</w:t>
            </w:r>
          </w:p>
        </w:tc>
        <w:tc>
          <w:tcPr>
            <w:tcW w:w="2551" w:type="dxa"/>
            <w:vAlign w:val="center"/>
          </w:tcPr>
          <w:p>
            <w:pPr>
              <w:pStyle w:val="27"/>
            </w:pPr>
            <w:r>
              <w:t>≥2次</w:t>
            </w:r>
          </w:p>
        </w:tc>
        <w:tc>
          <w:tcPr>
            <w:tcW w:w="2268" w:type="dxa"/>
            <w:vAlign w:val="center"/>
          </w:tcPr>
          <w:p>
            <w:pPr>
              <w:pStyle w:val="2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订阅杂志及时性</w:t>
            </w:r>
          </w:p>
        </w:tc>
        <w:tc>
          <w:tcPr>
            <w:tcW w:w="2835" w:type="dxa"/>
            <w:vAlign w:val="center"/>
          </w:tcPr>
          <w:p>
            <w:pPr>
              <w:pStyle w:val="27"/>
            </w:pPr>
            <w:r>
              <w:t>订阅杂志及时性</w:t>
            </w:r>
          </w:p>
        </w:tc>
        <w:tc>
          <w:tcPr>
            <w:tcW w:w="2551" w:type="dxa"/>
            <w:vAlign w:val="center"/>
          </w:tcPr>
          <w:p>
            <w:pPr>
              <w:pStyle w:val="27"/>
            </w:pPr>
            <w:r>
              <w:t>及时性</w:t>
            </w:r>
          </w:p>
        </w:tc>
        <w:tc>
          <w:tcPr>
            <w:tcW w:w="2268" w:type="dxa"/>
            <w:vAlign w:val="center"/>
          </w:tcPr>
          <w:p>
            <w:pPr>
              <w:pStyle w:val="2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订阅报刊及时性</w:t>
            </w:r>
          </w:p>
        </w:tc>
        <w:tc>
          <w:tcPr>
            <w:tcW w:w="2835" w:type="dxa"/>
            <w:vAlign w:val="center"/>
          </w:tcPr>
          <w:p>
            <w:pPr>
              <w:pStyle w:val="27"/>
            </w:pPr>
            <w:r>
              <w:t>订阅报刊及时性</w:t>
            </w:r>
          </w:p>
        </w:tc>
        <w:tc>
          <w:tcPr>
            <w:tcW w:w="2551" w:type="dxa"/>
            <w:vAlign w:val="center"/>
          </w:tcPr>
          <w:p>
            <w:pPr>
              <w:pStyle w:val="27"/>
            </w:pPr>
            <w:r>
              <w:t>及时性</w:t>
            </w:r>
          </w:p>
        </w:tc>
        <w:tc>
          <w:tcPr>
            <w:tcW w:w="2268" w:type="dxa"/>
            <w:vAlign w:val="center"/>
          </w:tcPr>
          <w:p>
            <w:pPr>
              <w:pStyle w:val="2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经费下发及时率</w:t>
            </w:r>
          </w:p>
        </w:tc>
        <w:tc>
          <w:tcPr>
            <w:tcW w:w="2835" w:type="dxa"/>
            <w:vAlign w:val="center"/>
          </w:tcPr>
          <w:p>
            <w:pPr>
              <w:pStyle w:val="27"/>
            </w:pPr>
            <w:r>
              <w:t>经费下发及时率</w:t>
            </w:r>
          </w:p>
        </w:tc>
        <w:tc>
          <w:tcPr>
            <w:tcW w:w="2551" w:type="dxa"/>
            <w:vAlign w:val="center"/>
          </w:tcPr>
          <w:p>
            <w:pPr>
              <w:pStyle w:val="27"/>
            </w:pPr>
            <w:r>
              <w:t>及时率</w:t>
            </w:r>
          </w:p>
        </w:tc>
        <w:tc>
          <w:tcPr>
            <w:tcW w:w="2268" w:type="dxa"/>
            <w:vAlign w:val="center"/>
          </w:tcPr>
          <w:p>
            <w:pPr>
              <w:pStyle w:val="2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订阅杂志价格</w:t>
            </w:r>
          </w:p>
        </w:tc>
        <w:tc>
          <w:tcPr>
            <w:tcW w:w="2835" w:type="dxa"/>
            <w:vAlign w:val="center"/>
          </w:tcPr>
          <w:p>
            <w:pPr>
              <w:pStyle w:val="27"/>
            </w:pPr>
            <w:r>
              <w:t>订阅杂志价格</w:t>
            </w:r>
          </w:p>
        </w:tc>
        <w:tc>
          <w:tcPr>
            <w:tcW w:w="2551" w:type="dxa"/>
            <w:vAlign w:val="center"/>
          </w:tcPr>
          <w:p>
            <w:pPr>
              <w:pStyle w:val="27"/>
            </w:pPr>
            <w:r>
              <w:t>≥5万元</w:t>
            </w:r>
          </w:p>
        </w:tc>
        <w:tc>
          <w:tcPr>
            <w:tcW w:w="2268" w:type="dxa"/>
            <w:vAlign w:val="center"/>
          </w:tcPr>
          <w:p>
            <w:pPr>
              <w:pStyle w:val="2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订阅报刊价格</w:t>
            </w:r>
          </w:p>
        </w:tc>
        <w:tc>
          <w:tcPr>
            <w:tcW w:w="2835" w:type="dxa"/>
            <w:vAlign w:val="center"/>
          </w:tcPr>
          <w:p>
            <w:pPr>
              <w:pStyle w:val="27"/>
            </w:pPr>
            <w:r>
              <w:t>订阅报刊价格</w:t>
            </w:r>
          </w:p>
        </w:tc>
        <w:tc>
          <w:tcPr>
            <w:tcW w:w="2551" w:type="dxa"/>
            <w:vAlign w:val="center"/>
          </w:tcPr>
          <w:p>
            <w:pPr>
              <w:pStyle w:val="27"/>
            </w:pPr>
            <w:r>
              <w:t>≥5万元</w:t>
            </w:r>
          </w:p>
        </w:tc>
        <w:tc>
          <w:tcPr>
            <w:tcW w:w="2268" w:type="dxa"/>
            <w:vAlign w:val="center"/>
          </w:tcPr>
          <w:p>
            <w:pPr>
              <w:pStyle w:val="2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代表活动经费</w:t>
            </w:r>
          </w:p>
        </w:tc>
        <w:tc>
          <w:tcPr>
            <w:tcW w:w="2835" w:type="dxa"/>
            <w:vAlign w:val="center"/>
          </w:tcPr>
          <w:p>
            <w:pPr>
              <w:pStyle w:val="27"/>
            </w:pPr>
            <w:r>
              <w:t>代表活动经费</w:t>
            </w:r>
          </w:p>
        </w:tc>
        <w:tc>
          <w:tcPr>
            <w:tcW w:w="2551" w:type="dxa"/>
            <w:vAlign w:val="center"/>
          </w:tcPr>
          <w:p>
            <w:pPr>
              <w:pStyle w:val="27"/>
            </w:pPr>
            <w:r>
              <w:t>≥20万元</w:t>
            </w:r>
          </w:p>
        </w:tc>
        <w:tc>
          <w:tcPr>
            <w:tcW w:w="2268" w:type="dxa"/>
            <w:vAlign w:val="center"/>
          </w:tcPr>
          <w:p>
            <w:pPr>
              <w:pStyle w:val="2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效益指标</w:t>
            </w:r>
          </w:p>
        </w:tc>
        <w:tc>
          <w:tcPr>
            <w:tcW w:w="2268" w:type="dxa"/>
            <w:vAlign w:val="center"/>
          </w:tcPr>
          <w:p>
            <w:pPr>
              <w:pStyle w:val="27"/>
            </w:pPr>
            <w:r>
              <w:t>社会效益指标</w:t>
            </w:r>
          </w:p>
        </w:tc>
        <w:tc>
          <w:tcPr>
            <w:tcW w:w="2835" w:type="dxa"/>
            <w:vAlign w:val="center"/>
          </w:tcPr>
          <w:p>
            <w:pPr>
              <w:pStyle w:val="27"/>
            </w:pPr>
            <w:r>
              <w:t>社会效益指标</w:t>
            </w:r>
          </w:p>
        </w:tc>
        <w:tc>
          <w:tcPr>
            <w:tcW w:w="2835" w:type="dxa"/>
            <w:vAlign w:val="center"/>
          </w:tcPr>
          <w:p>
            <w:pPr>
              <w:pStyle w:val="27"/>
            </w:pPr>
            <w:r>
              <w:t>拓宽代表了解社情民意渠道</w:t>
            </w:r>
          </w:p>
        </w:tc>
        <w:tc>
          <w:tcPr>
            <w:tcW w:w="2551" w:type="dxa"/>
            <w:vAlign w:val="center"/>
          </w:tcPr>
          <w:p>
            <w:pPr>
              <w:pStyle w:val="27"/>
            </w:pPr>
            <w:r>
              <w:t>拓宽渠道</w:t>
            </w:r>
          </w:p>
        </w:tc>
        <w:tc>
          <w:tcPr>
            <w:tcW w:w="2268" w:type="dxa"/>
            <w:vAlign w:val="center"/>
          </w:tcPr>
          <w:p>
            <w:pPr>
              <w:pStyle w:val="2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社会效益指标</w:t>
            </w:r>
          </w:p>
        </w:tc>
        <w:tc>
          <w:tcPr>
            <w:tcW w:w="2835" w:type="dxa"/>
            <w:vAlign w:val="center"/>
          </w:tcPr>
          <w:p>
            <w:pPr>
              <w:pStyle w:val="27"/>
            </w:pPr>
            <w:r>
              <w:t>社会效益指标</w:t>
            </w:r>
          </w:p>
        </w:tc>
        <w:tc>
          <w:tcPr>
            <w:tcW w:w="2835" w:type="dxa"/>
            <w:vAlign w:val="center"/>
          </w:tcPr>
          <w:p>
            <w:pPr>
              <w:pStyle w:val="27"/>
            </w:pPr>
            <w:r>
              <w:t>提高代表履职能力</w:t>
            </w:r>
          </w:p>
        </w:tc>
        <w:tc>
          <w:tcPr>
            <w:tcW w:w="2551" w:type="dxa"/>
            <w:vAlign w:val="center"/>
          </w:tcPr>
          <w:p>
            <w:pPr>
              <w:pStyle w:val="27"/>
            </w:pPr>
            <w:r>
              <w:t>提高能力</w:t>
            </w:r>
          </w:p>
        </w:tc>
        <w:tc>
          <w:tcPr>
            <w:tcW w:w="2268" w:type="dxa"/>
            <w:vAlign w:val="center"/>
          </w:tcPr>
          <w:p>
            <w:pPr>
              <w:pStyle w:val="2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可持续影响指标</w:t>
            </w:r>
          </w:p>
        </w:tc>
        <w:tc>
          <w:tcPr>
            <w:tcW w:w="2835" w:type="dxa"/>
            <w:vAlign w:val="center"/>
          </w:tcPr>
          <w:p>
            <w:pPr>
              <w:pStyle w:val="27"/>
            </w:pPr>
            <w:r>
              <w:t>可持续影响指标</w:t>
            </w:r>
          </w:p>
        </w:tc>
        <w:tc>
          <w:tcPr>
            <w:tcW w:w="2835" w:type="dxa"/>
            <w:vAlign w:val="center"/>
          </w:tcPr>
          <w:p>
            <w:pPr>
              <w:pStyle w:val="27"/>
            </w:pPr>
            <w:r>
              <w:t>为我市长期可持续发展建言献策</w:t>
            </w:r>
          </w:p>
        </w:tc>
        <w:tc>
          <w:tcPr>
            <w:tcW w:w="2551" w:type="dxa"/>
            <w:vAlign w:val="center"/>
          </w:tcPr>
          <w:p>
            <w:pPr>
              <w:pStyle w:val="27"/>
            </w:pPr>
            <w:r>
              <w:t>长期影响</w:t>
            </w:r>
          </w:p>
        </w:tc>
        <w:tc>
          <w:tcPr>
            <w:tcW w:w="2268" w:type="dxa"/>
            <w:vAlign w:val="center"/>
          </w:tcPr>
          <w:p>
            <w:pPr>
              <w:pStyle w:val="2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8"/>
            </w:pPr>
            <w:r>
              <w:t>满意度指标</w:t>
            </w:r>
          </w:p>
        </w:tc>
        <w:tc>
          <w:tcPr>
            <w:tcW w:w="2268" w:type="dxa"/>
            <w:vAlign w:val="center"/>
          </w:tcPr>
          <w:p>
            <w:pPr>
              <w:pStyle w:val="27"/>
            </w:pPr>
            <w:r>
              <w:t>服务对象满意度指标</w:t>
            </w:r>
          </w:p>
        </w:tc>
        <w:tc>
          <w:tcPr>
            <w:tcW w:w="2835" w:type="dxa"/>
            <w:vAlign w:val="center"/>
          </w:tcPr>
          <w:p>
            <w:pPr>
              <w:pStyle w:val="27"/>
            </w:pPr>
            <w:r>
              <w:t>服务对象满意度</w:t>
            </w:r>
          </w:p>
        </w:tc>
        <w:tc>
          <w:tcPr>
            <w:tcW w:w="2835" w:type="dxa"/>
            <w:vAlign w:val="center"/>
          </w:tcPr>
          <w:p>
            <w:pPr>
              <w:pStyle w:val="27"/>
            </w:pPr>
            <w:r>
              <w:t>代表满意度</w:t>
            </w:r>
          </w:p>
        </w:tc>
        <w:tc>
          <w:tcPr>
            <w:tcW w:w="2551" w:type="dxa"/>
            <w:vAlign w:val="center"/>
          </w:tcPr>
          <w:p>
            <w:pPr>
              <w:pStyle w:val="27"/>
            </w:pPr>
            <w:r>
              <w:t>≥95</w:t>
            </w:r>
          </w:p>
        </w:tc>
        <w:tc>
          <w:tcPr>
            <w:tcW w:w="2268" w:type="dxa"/>
            <w:vAlign w:val="center"/>
          </w:tcPr>
          <w:p>
            <w:pPr>
              <w:pStyle w:val="27"/>
            </w:pPr>
            <w:r>
              <w:t>工作要求</w:t>
            </w:r>
          </w:p>
        </w:tc>
      </w:tr>
    </w:tbl>
    <w:p>
      <w:pPr>
        <w:pStyle w:val="25"/>
      </w:pPr>
    </w:p>
    <w:p>
      <w:pPr>
        <w:pStyle w:val="25"/>
        <w:ind w:firstLine="560"/>
      </w:pPr>
      <w:r>
        <w:rPr>
          <w:rFonts w:ascii="方正仿宋_GBK" w:hAnsi="方正仿宋_GBK" w:eastAsia="方正仿宋_GBK" w:cs="方正仿宋_GBK"/>
          <w:b/>
          <w:color w:val="000000"/>
          <w:sz w:val="28"/>
        </w:rPr>
        <w:t>5、2022年度业务费项目绩效目标表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6"/>
            </w:pPr>
            <w:r>
              <w:t>绩效目标</w:t>
            </w:r>
          </w:p>
        </w:tc>
        <w:tc>
          <w:tcPr>
            <w:tcW w:w="12756" w:type="dxa"/>
            <w:tcBorders>
              <w:bottom w:val="single" w:color="FFFFFF" w:sz="6" w:space="0"/>
            </w:tcBorders>
            <w:vAlign w:val="center"/>
          </w:tcPr>
          <w:p>
            <w:pPr>
              <w:pStyle w:val="27"/>
            </w:pPr>
            <w:r>
              <w:t>1.目标内容1</w:t>
            </w:r>
          </w:p>
        </w:tc>
      </w:tr>
    </w:tbl>
    <w:p>
      <w:pPr>
        <w:pStyle w:val="25"/>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产出指标</w:t>
            </w:r>
          </w:p>
        </w:tc>
        <w:tc>
          <w:tcPr>
            <w:tcW w:w="2268" w:type="dxa"/>
            <w:vAlign w:val="center"/>
          </w:tcPr>
          <w:p>
            <w:pPr>
              <w:pStyle w:val="27"/>
            </w:pPr>
            <w:r>
              <w:t>数量指标</w:t>
            </w:r>
          </w:p>
        </w:tc>
        <w:tc>
          <w:tcPr>
            <w:tcW w:w="2835" w:type="dxa"/>
            <w:vAlign w:val="center"/>
          </w:tcPr>
          <w:p>
            <w:pPr>
              <w:pStyle w:val="27"/>
            </w:pPr>
            <w:r>
              <w:t>印刷材料数量</w:t>
            </w:r>
          </w:p>
        </w:tc>
        <w:tc>
          <w:tcPr>
            <w:tcW w:w="2835" w:type="dxa"/>
            <w:vAlign w:val="center"/>
          </w:tcPr>
          <w:p>
            <w:pPr>
              <w:pStyle w:val="27"/>
            </w:pPr>
            <w:r>
              <w:t>印刷会议资料、宣传材料数量</w:t>
            </w:r>
          </w:p>
        </w:tc>
        <w:tc>
          <w:tcPr>
            <w:tcW w:w="2551" w:type="dxa"/>
            <w:vAlign w:val="center"/>
          </w:tcPr>
          <w:p>
            <w:pPr>
              <w:pStyle w:val="27"/>
            </w:pPr>
            <w:r>
              <w:t>≥10000份</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购置（维修、更新）设备数量</w:t>
            </w:r>
          </w:p>
        </w:tc>
        <w:tc>
          <w:tcPr>
            <w:tcW w:w="2835" w:type="dxa"/>
            <w:vAlign w:val="center"/>
          </w:tcPr>
          <w:p>
            <w:pPr>
              <w:pStyle w:val="27"/>
            </w:pPr>
            <w:r>
              <w:t>购置（维修、更新）设备数量完成情况</w:t>
            </w:r>
          </w:p>
        </w:tc>
        <w:tc>
          <w:tcPr>
            <w:tcW w:w="2551" w:type="dxa"/>
            <w:vAlign w:val="center"/>
          </w:tcPr>
          <w:p>
            <w:pPr>
              <w:pStyle w:val="27"/>
            </w:pPr>
            <w:r>
              <w:t>≥1台</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设备安装完成率</w:t>
            </w:r>
          </w:p>
        </w:tc>
        <w:tc>
          <w:tcPr>
            <w:tcW w:w="2835" w:type="dxa"/>
            <w:vAlign w:val="center"/>
          </w:tcPr>
          <w:p>
            <w:pPr>
              <w:pStyle w:val="27"/>
            </w:pPr>
            <w:r>
              <w:t>需要安装的设备安装进度</w:t>
            </w:r>
          </w:p>
        </w:tc>
        <w:tc>
          <w:tcPr>
            <w:tcW w:w="2551" w:type="dxa"/>
            <w:vAlign w:val="center"/>
          </w:tcPr>
          <w:p>
            <w:pPr>
              <w:pStyle w:val="27"/>
            </w:pPr>
            <w:r>
              <w:t>≥100%</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租赁汽车次数</w:t>
            </w:r>
          </w:p>
        </w:tc>
        <w:tc>
          <w:tcPr>
            <w:tcW w:w="2835" w:type="dxa"/>
            <w:vAlign w:val="center"/>
          </w:tcPr>
          <w:p>
            <w:pPr>
              <w:pStyle w:val="27"/>
            </w:pPr>
            <w:r>
              <w:t>视察、调查、执法检查、调研等活动租赁汽车次数</w:t>
            </w:r>
          </w:p>
        </w:tc>
        <w:tc>
          <w:tcPr>
            <w:tcW w:w="2551" w:type="dxa"/>
            <w:vAlign w:val="center"/>
          </w:tcPr>
          <w:p>
            <w:pPr>
              <w:pStyle w:val="27"/>
            </w:pPr>
            <w:r>
              <w:t>≥20次</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租赁汽车数量</w:t>
            </w:r>
          </w:p>
        </w:tc>
        <w:tc>
          <w:tcPr>
            <w:tcW w:w="2835" w:type="dxa"/>
            <w:vAlign w:val="center"/>
          </w:tcPr>
          <w:p>
            <w:pPr>
              <w:pStyle w:val="27"/>
            </w:pPr>
            <w:r>
              <w:t>视察、调查、执法检查、调研等活动租赁汽车量数</w:t>
            </w:r>
          </w:p>
        </w:tc>
        <w:tc>
          <w:tcPr>
            <w:tcW w:w="2551" w:type="dxa"/>
            <w:vAlign w:val="center"/>
          </w:tcPr>
          <w:p>
            <w:pPr>
              <w:pStyle w:val="27"/>
            </w:pPr>
            <w:r>
              <w:t>≥20量</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印刷清晰度</w:t>
            </w:r>
          </w:p>
        </w:tc>
        <w:tc>
          <w:tcPr>
            <w:tcW w:w="2835" w:type="dxa"/>
            <w:vAlign w:val="center"/>
          </w:tcPr>
          <w:p>
            <w:pPr>
              <w:pStyle w:val="27"/>
            </w:pPr>
            <w:r>
              <w:t>反映书籍（报刊、杂志）的印刷是否清晰</w:t>
            </w:r>
          </w:p>
        </w:tc>
        <w:tc>
          <w:tcPr>
            <w:tcW w:w="2551" w:type="dxa"/>
            <w:vAlign w:val="center"/>
          </w:tcPr>
          <w:p>
            <w:pPr>
              <w:pStyle w:val="27"/>
            </w:pPr>
            <w:r>
              <w:t>≥100%</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验收合格率</w:t>
            </w:r>
          </w:p>
        </w:tc>
        <w:tc>
          <w:tcPr>
            <w:tcW w:w="2835" w:type="dxa"/>
            <w:vAlign w:val="center"/>
          </w:tcPr>
          <w:p>
            <w:pPr>
              <w:pStyle w:val="27"/>
            </w:pPr>
            <w:r>
              <w:t>设备购置（维修、更新）质量情况</w:t>
            </w:r>
          </w:p>
        </w:tc>
        <w:tc>
          <w:tcPr>
            <w:tcW w:w="2551" w:type="dxa"/>
            <w:vAlign w:val="center"/>
          </w:tcPr>
          <w:p>
            <w:pPr>
              <w:pStyle w:val="27"/>
            </w:pPr>
            <w:r>
              <w:t>≥100%</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工程验收合格率</w:t>
            </w:r>
          </w:p>
        </w:tc>
        <w:tc>
          <w:tcPr>
            <w:tcW w:w="2835" w:type="dxa"/>
            <w:vAlign w:val="center"/>
          </w:tcPr>
          <w:p>
            <w:pPr>
              <w:pStyle w:val="27"/>
            </w:pPr>
            <w:r>
              <w:t>安装工程质量情况</w:t>
            </w:r>
          </w:p>
        </w:tc>
        <w:tc>
          <w:tcPr>
            <w:tcW w:w="2551" w:type="dxa"/>
            <w:vAlign w:val="center"/>
          </w:tcPr>
          <w:p>
            <w:pPr>
              <w:pStyle w:val="27"/>
            </w:pPr>
            <w:r>
              <w:t>≥100%</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印刷及时性</w:t>
            </w:r>
          </w:p>
        </w:tc>
        <w:tc>
          <w:tcPr>
            <w:tcW w:w="2835" w:type="dxa"/>
            <w:vAlign w:val="center"/>
          </w:tcPr>
          <w:p>
            <w:pPr>
              <w:pStyle w:val="27"/>
            </w:pPr>
            <w:r>
              <w:t>反映材料印刷是否及时，是否在规定时间内完成</w:t>
            </w:r>
          </w:p>
        </w:tc>
        <w:tc>
          <w:tcPr>
            <w:tcW w:w="2551" w:type="dxa"/>
            <w:vAlign w:val="center"/>
          </w:tcPr>
          <w:p>
            <w:pPr>
              <w:pStyle w:val="27"/>
            </w:pPr>
            <w:r>
              <w:t>及时</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设备购置及时性</w:t>
            </w:r>
          </w:p>
        </w:tc>
        <w:tc>
          <w:tcPr>
            <w:tcW w:w="2835" w:type="dxa"/>
            <w:vAlign w:val="center"/>
          </w:tcPr>
          <w:p>
            <w:pPr>
              <w:pStyle w:val="27"/>
            </w:pPr>
            <w:r>
              <w:t>反映设备按时采购情况</w:t>
            </w:r>
          </w:p>
        </w:tc>
        <w:tc>
          <w:tcPr>
            <w:tcW w:w="2551" w:type="dxa"/>
            <w:vAlign w:val="center"/>
          </w:tcPr>
          <w:p>
            <w:pPr>
              <w:pStyle w:val="27"/>
            </w:pPr>
            <w:r>
              <w:t>及时</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设备安装及时性</w:t>
            </w:r>
          </w:p>
        </w:tc>
        <w:tc>
          <w:tcPr>
            <w:tcW w:w="2835" w:type="dxa"/>
            <w:vAlign w:val="center"/>
          </w:tcPr>
          <w:p>
            <w:pPr>
              <w:pStyle w:val="27"/>
            </w:pPr>
            <w:r>
              <w:t>反映设备按时安装情况</w:t>
            </w:r>
          </w:p>
        </w:tc>
        <w:tc>
          <w:tcPr>
            <w:tcW w:w="2551" w:type="dxa"/>
            <w:vAlign w:val="center"/>
          </w:tcPr>
          <w:p>
            <w:pPr>
              <w:pStyle w:val="27"/>
            </w:pPr>
            <w:r>
              <w:t>及时</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租赁汽车及时性</w:t>
            </w:r>
          </w:p>
        </w:tc>
        <w:tc>
          <w:tcPr>
            <w:tcW w:w="2835" w:type="dxa"/>
            <w:vAlign w:val="center"/>
          </w:tcPr>
          <w:p>
            <w:pPr>
              <w:pStyle w:val="27"/>
            </w:pPr>
            <w:r>
              <w:t>按照工作需要及时租赁汽车，保证工作运转</w:t>
            </w:r>
          </w:p>
        </w:tc>
        <w:tc>
          <w:tcPr>
            <w:tcW w:w="2551" w:type="dxa"/>
            <w:vAlign w:val="center"/>
          </w:tcPr>
          <w:p>
            <w:pPr>
              <w:pStyle w:val="27"/>
            </w:pPr>
            <w:r>
              <w:t>及时</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成本控制率</w:t>
            </w:r>
          </w:p>
        </w:tc>
        <w:tc>
          <w:tcPr>
            <w:tcW w:w="2835" w:type="dxa"/>
            <w:vAlign w:val="center"/>
          </w:tcPr>
          <w:p>
            <w:pPr>
              <w:pStyle w:val="27"/>
            </w:pPr>
            <w:r>
              <w:t>实际支出数/预算下达数*100%</w:t>
            </w:r>
          </w:p>
        </w:tc>
        <w:tc>
          <w:tcPr>
            <w:tcW w:w="2551" w:type="dxa"/>
            <w:vAlign w:val="center"/>
          </w:tcPr>
          <w:p>
            <w:pPr>
              <w:pStyle w:val="27"/>
            </w:pPr>
            <w:r>
              <w:t>≤100%</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设备购置成本</w:t>
            </w:r>
          </w:p>
        </w:tc>
        <w:tc>
          <w:tcPr>
            <w:tcW w:w="2835" w:type="dxa"/>
            <w:vAlign w:val="center"/>
          </w:tcPr>
          <w:p>
            <w:pPr>
              <w:pStyle w:val="27"/>
            </w:pPr>
            <w:r>
              <w:t>每台/套/辆设备购置成本</w:t>
            </w:r>
          </w:p>
        </w:tc>
        <w:tc>
          <w:tcPr>
            <w:tcW w:w="2551" w:type="dxa"/>
            <w:vAlign w:val="center"/>
          </w:tcPr>
          <w:p>
            <w:pPr>
              <w:pStyle w:val="27"/>
            </w:pPr>
            <w:r>
              <w:t>≤15万元</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设备安装成本</w:t>
            </w:r>
          </w:p>
        </w:tc>
        <w:tc>
          <w:tcPr>
            <w:tcW w:w="2835" w:type="dxa"/>
            <w:vAlign w:val="center"/>
          </w:tcPr>
          <w:p>
            <w:pPr>
              <w:pStyle w:val="27"/>
            </w:pPr>
            <w:r>
              <w:t>每台设备安装成本</w:t>
            </w:r>
          </w:p>
        </w:tc>
        <w:tc>
          <w:tcPr>
            <w:tcW w:w="2551" w:type="dxa"/>
            <w:vAlign w:val="center"/>
          </w:tcPr>
          <w:p>
            <w:pPr>
              <w:pStyle w:val="27"/>
            </w:pPr>
            <w:r>
              <w:t>≤15万元</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租赁汽车成本</w:t>
            </w:r>
          </w:p>
        </w:tc>
        <w:tc>
          <w:tcPr>
            <w:tcW w:w="2835" w:type="dxa"/>
            <w:vAlign w:val="center"/>
          </w:tcPr>
          <w:p>
            <w:pPr>
              <w:pStyle w:val="27"/>
            </w:pPr>
            <w:r>
              <w:t xml:space="preserve">租赁汽车每台次成本          </w:t>
            </w:r>
          </w:p>
        </w:tc>
        <w:tc>
          <w:tcPr>
            <w:tcW w:w="2551" w:type="dxa"/>
            <w:vAlign w:val="center"/>
          </w:tcPr>
          <w:p>
            <w:pPr>
              <w:pStyle w:val="27"/>
            </w:pPr>
            <w:r>
              <w:t>≤1万元</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效益指标</w:t>
            </w:r>
          </w:p>
        </w:tc>
        <w:tc>
          <w:tcPr>
            <w:tcW w:w="2268" w:type="dxa"/>
            <w:vAlign w:val="center"/>
          </w:tcPr>
          <w:p>
            <w:pPr>
              <w:pStyle w:val="27"/>
            </w:pPr>
            <w:r>
              <w:t>社会效益指标</w:t>
            </w:r>
          </w:p>
        </w:tc>
        <w:tc>
          <w:tcPr>
            <w:tcW w:w="2835" w:type="dxa"/>
            <w:vAlign w:val="center"/>
          </w:tcPr>
          <w:p>
            <w:pPr>
              <w:pStyle w:val="27"/>
            </w:pPr>
            <w:r>
              <w:t>传播人大工作</w:t>
            </w:r>
          </w:p>
        </w:tc>
        <w:tc>
          <w:tcPr>
            <w:tcW w:w="2835" w:type="dxa"/>
            <w:vAlign w:val="center"/>
          </w:tcPr>
          <w:p>
            <w:pPr>
              <w:pStyle w:val="27"/>
            </w:pPr>
            <w:r>
              <w:t>传播推广人大工作先进经验，推广代表工作方法</w:t>
            </w:r>
          </w:p>
        </w:tc>
        <w:tc>
          <w:tcPr>
            <w:tcW w:w="2551" w:type="dxa"/>
            <w:vAlign w:val="center"/>
          </w:tcPr>
          <w:p>
            <w:pPr>
              <w:pStyle w:val="27"/>
            </w:pPr>
            <w:r>
              <w:t>推动</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社会效益指标</w:t>
            </w:r>
          </w:p>
        </w:tc>
        <w:tc>
          <w:tcPr>
            <w:tcW w:w="2835" w:type="dxa"/>
            <w:vAlign w:val="center"/>
          </w:tcPr>
          <w:p>
            <w:pPr>
              <w:pStyle w:val="27"/>
            </w:pPr>
            <w:r>
              <w:t>保障人大工作正常开展</w:t>
            </w:r>
          </w:p>
        </w:tc>
        <w:tc>
          <w:tcPr>
            <w:tcW w:w="2835" w:type="dxa"/>
            <w:vAlign w:val="center"/>
          </w:tcPr>
          <w:p>
            <w:pPr>
              <w:pStyle w:val="27"/>
            </w:pPr>
            <w:r>
              <w:t>通过印刷宣传材料、课件、报告、审议意见等，保障人大工作的正常开展</w:t>
            </w:r>
          </w:p>
        </w:tc>
        <w:tc>
          <w:tcPr>
            <w:tcW w:w="2551" w:type="dxa"/>
            <w:vAlign w:val="center"/>
          </w:tcPr>
          <w:p>
            <w:pPr>
              <w:pStyle w:val="27"/>
            </w:pPr>
            <w:r>
              <w:t>保障</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经济效益指标</w:t>
            </w:r>
          </w:p>
        </w:tc>
        <w:tc>
          <w:tcPr>
            <w:tcW w:w="2835" w:type="dxa"/>
            <w:vAlign w:val="center"/>
          </w:tcPr>
          <w:p>
            <w:pPr>
              <w:pStyle w:val="27"/>
            </w:pPr>
            <w:r>
              <w:t>提升工作效率</w:t>
            </w:r>
          </w:p>
        </w:tc>
        <w:tc>
          <w:tcPr>
            <w:tcW w:w="2835" w:type="dxa"/>
            <w:vAlign w:val="center"/>
          </w:tcPr>
          <w:p>
            <w:pPr>
              <w:pStyle w:val="27"/>
            </w:pPr>
            <w:r>
              <w:t>设备购置对工作效率带来的提升</w:t>
            </w:r>
          </w:p>
        </w:tc>
        <w:tc>
          <w:tcPr>
            <w:tcW w:w="2551" w:type="dxa"/>
            <w:vAlign w:val="center"/>
          </w:tcPr>
          <w:p>
            <w:pPr>
              <w:pStyle w:val="27"/>
            </w:pPr>
            <w:r>
              <w:t>提升</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经济效益指标</w:t>
            </w:r>
          </w:p>
        </w:tc>
        <w:tc>
          <w:tcPr>
            <w:tcW w:w="2835" w:type="dxa"/>
            <w:vAlign w:val="center"/>
          </w:tcPr>
          <w:p>
            <w:pPr>
              <w:pStyle w:val="27"/>
            </w:pPr>
            <w:r>
              <w:t>设备利用率</w:t>
            </w:r>
          </w:p>
        </w:tc>
        <w:tc>
          <w:tcPr>
            <w:tcW w:w="2835" w:type="dxa"/>
            <w:vAlign w:val="center"/>
          </w:tcPr>
          <w:p>
            <w:pPr>
              <w:pStyle w:val="27"/>
            </w:pPr>
            <w:r>
              <w:t>设备购入后的使用成效</w:t>
            </w:r>
          </w:p>
        </w:tc>
        <w:tc>
          <w:tcPr>
            <w:tcW w:w="2551" w:type="dxa"/>
            <w:vAlign w:val="center"/>
          </w:tcPr>
          <w:p>
            <w:pPr>
              <w:pStyle w:val="27"/>
            </w:pPr>
            <w:r>
              <w:t>≥100%</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社会效益指标</w:t>
            </w:r>
          </w:p>
        </w:tc>
        <w:tc>
          <w:tcPr>
            <w:tcW w:w="2835" w:type="dxa"/>
            <w:vAlign w:val="center"/>
          </w:tcPr>
          <w:p>
            <w:pPr>
              <w:pStyle w:val="27"/>
            </w:pPr>
            <w:r>
              <w:t>提高服务水平</w:t>
            </w:r>
          </w:p>
        </w:tc>
        <w:tc>
          <w:tcPr>
            <w:tcW w:w="2835" w:type="dxa"/>
            <w:vAlign w:val="center"/>
          </w:tcPr>
          <w:p>
            <w:pPr>
              <w:pStyle w:val="27"/>
            </w:pPr>
            <w:r>
              <w:t>考察该设备是否可以有效提高服务水平</w:t>
            </w:r>
          </w:p>
        </w:tc>
        <w:tc>
          <w:tcPr>
            <w:tcW w:w="2551" w:type="dxa"/>
            <w:vAlign w:val="center"/>
          </w:tcPr>
          <w:p>
            <w:pPr>
              <w:pStyle w:val="27"/>
            </w:pPr>
            <w:r>
              <w:t>提高</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社会效益指标</w:t>
            </w:r>
          </w:p>
        </w:tc>
        <w:tc>
          <w:tcPr>
            <w:tcW w:w="2835" w:type="dxa"/>
            <w:vAlign w:val="center"/>
          </w:tcPr>
          <w:p>
            <w:pPr>
              <w:pStyle w:val="27"/>
            </w:pPr>
            <w:r>
              <w:t>满足工作需求</w:t>
            </w:r>
          </w:p>
        </w:tc>
        <w:tc>
          <w:tcPr>
            <w:tcW w:w="2835" w:type="dxa"/>
            <w:vAlign w:val="center"/>
          </w:tcPr>
          <w:p>
            <w:pPr>
              <w:pStyle w:val="27"/>
            </w:pPr>
            <w:r>
              <w:t>按时、保质保量的完成视察、调查、执法检查、调研等项工作，为后勤服务提供保障。</w:t>
            </w:r>
          </w:p>
        </w:tc>
        <w:tc>
          <w:tcPr>
            <w:tcW w:w="2551" w:type="dxa"/>
            <w:vAlign w:val="center"/>
          </w:tcPr>
          <w:p>
            <w:pPr>
              <w:pStyle w:val="27"/>
            </w:pPr>
            <w:r>
              <w:t>满足</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生态效益指标</w:t>
            </w:r>
          </w:p>
        </w:tc>
        <w:tc>
          <w:tcPr>
            <w:tcW w:w="2835" w:type="dxa"/>
            <w:vAlign w:val="center"/>
          </w:tcPr>
          <w:p>
            <w:pPr>
              <w:pStyle w:val="27"/>
            </w:pPr>
            <w:r>
              <w:t>节能环保</w:t>
            </w:r>
          </w:p>
        </w:tc>
        <w:tc>
          <w:tcPr>
            <w:tcW w:w="2835" w:type="dxa"/>
            <w:vAlign w:val="center"/>
          </w:tcPr>
          <w:p>
            <w:pPr>
              <w:pStyle w:val="27"/>
            </w:pPr>
            <w:r>
              <w:t>购买节能环保的设备，设备安装对环境无影响</w:t>
            </w:r>
          </w:p>
        </w:tc>
        <w:tc>
          <w:tcPr>
            <w:tcW w:w="2551" w:type="dxa"/>
            <w:vAlign w:val="center"/>
          </w:tcPr>
          <w:p>
            <w:pPr>
              <w:pStyle w:val="27"/>
            </w:pPr>
            <w:r>
              <w:t>节约</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可持续影响指标</w:t>
            </w:r>
          </w:p>
        </w:tc>
        <w:tc>
          <w:tcPr>
            <w:tcW w:w="2835" w:type="dxa"/>
            <w:vAlign w:val="center"/>
          </w:tcPr>
          <w:p>
            <w:pPr>
              <w:pStyle w:val="27"/>
            </w:pPr>
            <w:r>
              <w:t>设备后期管养</w:t>
            </w:r>
          </w:p>
        </w:tc>
        <w:tc>
          <w:tcPr>
            <w:tcW w:w="2835" w:type="dxa"/>
            <w:vAlign w:val="center"/>
          </w:tcPr>
          <w:p>
            <w:pPr>
              <w:pStyle w:val="27"/>
            </w:pPr>
            <w:r>
              <w:t>设备的后续管理养护计划是否完备，是否有责任人或制度等。</w:t>
            </w:r>
          </w:p>
        </w:tc>
        <w:tc>
          <w:tcPr>
            <w:tcW w:w="2551" w:type="dxa"/>
            <w:vAlign w:val="center"/>
          </w:tcPr>
          <w:p>
            <w:pPr>
              <w:pStyle w:val="27"/>
            </w:pPr>
            <w:r>
              <w:t>有计划</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可持续影响指标</w:t>
            </w:r>
          </w:p>
        </w:tc>
        <w:tc>
          <w:tcPr>
            <w:tcW w:w="2835" w:type="dxa"/>
            <w:vAlign w:val="center"/>
          </w:tcPr>
          <w:p>
            <w:pPr>
              <w:pStyle w:val="27"/>
            </w:pPr>
            <w:r>
              <w:t>设备使用年限</w:t>
            </w:r>
          </w:p>
        </w:tc>
        <w:tc>
          <w:tcPr>
            <w:tcW w:w="2835" w:type="dxa"/>
            <w:vAlign w:val="center"/>
          </w:tcPr>
          <w:p>
            <w:pPr>
              <w:pStyle w:val="27"/>
            </w:pPr>
            <w:r>
              <w:t>设备使用年限达到预期标准</w:t>
            </w:r>
          </w:p>
        </w:tc>
        <w:tc>
          <w:tcPr>
            <w:tcW w:w="2551" w:type="dxa"/>
            <w:vAlign w:val="center"/>
          </w:tcPr>
          <w:p>
            <w:pPr>
              <w:pStyle w:val="27"/>
            </w:pPr>
            <w:r>
              <w:t>≥6年</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可持续影响指标</w:t>
            </w:r>
          </w:p>
        </w:tc>
        <w:tc>
          <w:tcPr>
            <w:tcW w:w="2835" w:type="dxa"/>
            <w:vAlign w:val="center"/>
          </w:tcPr>
          <w:p>
            <w:pPr>
              <w:pStyle w:val="27"/>
            </w:pPr>
            <w:r>
              <w:t>长期稳定服务</w:t>
            </w:r>
          </w:p>
        </w:tc>
        <w:tc>
          <w:tcPr>
            <w:tcW w:w="2835" w:type="dxa"/>
            <w:vAlign w:val="center"/>
          </w:tcPr>
          <w:p>
            <w:pPr>
              <w:pStyle w:val="27"/>
            </w:pPr>
            <w:r>
              <w:t>所购置设备能够长期稳定保障机关工作顺利进行，保障人大常委会工作正常运转。</w:t>
            </w:r>
          </w:p>
        </w:tc>
        <w:tc>
          <w:tcPr>
            <w:tcW w:w="2551" w:type="dxa"/>
            <w:vAlign w:val="center"/>
          </w:tcPr>
          <w:p>
            <w:pPr>
              <w:pStyle w:val="27"/>
            </w:pPr>
            <w:r>
              <w:t>长期</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8"/>
            </w:pPr>
            <w:r>
              <w:t>满意度指标</w:t>
            </w:r>
          </w:p>
        </w:tc>
        <w:tc>
          <w:tcPr>
            <w:tcW w:w="2268" w:type="dxa"/>
            <w:vAlign w:val="center"/>
          </w:tcPr>
          <w:p>
            <w:pPr>
              <w:pStyle w:val="27"/>
            </w:pPr>
            <w:r>
              <w:t>服务对象满意度指标</w:t>
            </w:r>
          </w:p>
        </w:tc>
        <w:tc>
          <w:tcPr>
            <w:tcW w:w="2835" w:type="dxa"/>
            <w:vAlign w:val="center"/>
          </w:tcPr>
          <w:p>
            <w:pPr>
              <w:pStyle w:val="27"/>
            </w:pPr>
            <w:r>
              <w:t>服务对象满意度</w:t>
            </w:r>
          </w:p>
        </w:tc>
        <w:tc>
          <w:tcPr>
            <w:tcW w:w="2835" w:type="dxa"/>
            <w:vAlign w:val="center"/>
          </w:tcPr>
          <w:p>
            <w:pPr>
              <w:pStyle w:val="27"/>
            </w:pPr>
            <w:r>
              <w:t>设备使用人员满意情况</w:t>
            </w:r>
          </w:p>
        </w:tc>
        <w:tc>
          <w:tcPr>
            <w:tcW w:w="2551" w:type="dxa"/>
            <w:vAlign w:val="center"/>
          </w:tcPr>
          <w:p>
            <w:pPr>
              <w:pStyle w:val="27"/>
            </w:pPr>
            <w:r>
              <w:t>≥95%</w:t>
            </w:r>
          </w:p>
        </w:tc>
        <w:tc>
          <w:tcPr>
            <w:tcW w:w="2268" w:type="dxa"/>
            <w:vAlign w:val="center"/>
          </w:tcPr>
          <w:p>
            <w:pPr>
              <w:pStyle w:val="27"/>
            </w:pPr>
            <w:r>
              <w:t>年初工作安排</w:t>
            </w:r>
          </w:p>
        </w:tc>
      </w:tr>
    </w:tbl>
    <w:p>
      <w:pPr>
        <w:pStyle w:val="25"/>
      </w:pPr>
    </w:p>
    <w:p>
      <w:pPr>
        <w:pStyle w:val="25"/>
        <w:ind w:firstLine="560"/>
      </w:pPr>
      <w:r>
        <w:rPr>
          <w:rFonts w:ascii="方正仿宋_GBK" w:hAnsi="方正仿宋_GBK" w:eastAsia="方正仿宋_GBK" w:cs="方正仿宋_GBK"/>
          <w:b/>
          <w:color w:val="000000"/>
          <w:sz w:val="28"/>
        </w:rPr>
        <w:t>6、2022年度招待费项目绩效目标表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6"/>
            </w:pPr>
            <w:r>
              <w:t>绩效目标</w:t>
            </w:r>
          </w:p>
        </w:tc>
        <w:tc>
          <w:tcPr>
            <w:tcW w:w="12756" w:type="dxa"/>
            <w:tcBorders>
              <w:bottom w:val="single" w:color="FFFFFF" w:sz="6" w:space="0"/>
            </w:tcBorders>
            <w:vAlign w:val="center"/>
          </w:tcPr>
          <w:p>
            <w:pPr>
              <w:pStyle w:val="27"/>
            </w:pPr>
            <w:r>
              <w:t>1.目标内容1</w:t>
            </w:r>
          </w:p>
        </w:tc>
      </w:tr>
    </w:tbl>
    <w:p>
      <w:pPr>
        <w:pStyle w:val="25"/>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产出指标</w:t>
            </w:r>
          </w:p>
        </w:tc>
        <w:tc>
          <w:tcPr>
            <w:tcW w:w="2268" w:type="dxa"/>
            <w:vAlign w:val="center"/>
          </w:tcPr>
          <w:p>
            <w:pPr>
              <w:pStyle w:val="27"/>
            </w:pPr>
            <w:r>
              <w:t>数量指标</w:t>
            </w:r>
          </w:p>
        </w:tc>
        <w:tc>
          <w:tcPr>
            <w:tcW w:w="2835" w:type="dxa"/>
            <w:vAlign w:val="center"/>
          </w:tcPr>
          <w:p>
            <w:pPr>
              <w:pStyle w:val="27"/>
            </w:pPr>
            <w:r>
              <w:t>接待人次</w:t>
            </w:r>
          </w:p>
        </w:tc>
        <w:tc>
          <w:tcPr>
            <w:tcW w:w="2835" w:type="dxa"/>
            <w:vAlign w:val="center"/>
          </w:tcPr>
          <w:p>
            <w:pPr>
              <w:pStyle w:val="27"/>
            </w:pPr>
            <w:r>
              <w:t>实际招待/接待人次</w:t>
            </w:r>
          </w:p>
        </w:tc>
        <w:tc>
          <w:tcPr>
            <w:tcW w:w="2551" w:type="dxa"/>
            <w:vAlign w:val="center"/>
          </w:tcPr>
          <w:p>
            <w:pPr>
              <w:pStyle w:val="27"/>
            </w:pPr>
            <w:r>
              <w:t>≥50人次</w:t>
            </w:r>
          </w:p>
        </w:tc>
        <w:tc>
          <w:tcPr>
            <w:tcW w:w="2268" w:type="dxa"/>
            <w:vAlign w:val="center"/>
          </w:tcPr>
          <w:p>
            <w:pPr>
              <w:pStyle w:val="27"/>
            </w:pPr>
            <w:r>
              <w:t xml:space="preserve">接待费管理办法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接待天数</w:t>
            </w:r>
          </w:p>
        </w:tc>
        <w:tc>
          <w:tcPr>
            <w:tcW w:w="2835" w:type="dxa"/>
            <w:vAlign w:val="center"/>
          </w:tcPr>
          <w:p>
            <w:pPr>
              <w:pStyle w:val="27"/>
            </w:pPr>
            <w:r>
              <w:t>实际/招待接待天数</w:t>
            </w:r>
          </w:p>
        </w:tc>
        <w:tc>
          <w:tcPr>
            <w:tcW w:w="2551" w:type="dxa"/>
            <w:vAlign w:val="center"/>
          </w:tcPr>
          <w:p>
            <w:pPr>
              <w:pStyle w:val="27"/>
            </w:pPr>
            <w:r>
              <w:t>≥5天</w:t>
            </w:r>
          </w:p>
        </w:tc>
        <w:tc>
          <w:tcPr>
            <w:tcW w:w="2268" w:type="dxa"/>
            <w:vAlign w:val="center"/>
          </w:tcPr>
          <w:p>
            <w:pPr>
              <w:pStyle w:val="27"/>
            </w:pPr>
            <w:r>
              <w:t xml:space="preserve">接待费管理办法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接待经费使用合规性</w:t>
            </w:r>
          </w:p>
        </w:tc>
        <w:tc>
          <w:tcPr>
            <w:tcW w:w="2835" w:type="dxa"/>
            <w:vAlign w:val="center"/>
          </w:tcPr>
          <w:p>
            <w:pPr>
              <w:pStyle w:val="27"/>
            </w:pPr>
            <w:r>
              <w:t>招待经费专款专用，按照相关资金使用办法合理合规支出</w:t>
            </w:r>
          </w:p>
        </w:tc>
        <w:tc>
          <w:tcPr>
            <w:tcW w:w="2551" w:type="dxa"/>
            <w:vAlign w:val="center"/>
          </w:tcPr>
          <w:p>
            <w:pPr>
              <w:pStyle w:val="27"/>
            </w:pPr>
            <w:r>
              <w:t>合规</w:t>
            </w:r>
            <w:r>
              <w:tab/>
            </w:r>
          </w:p>
        </w:tc>
        <w:tc>
          <w:tcPr>
            <w:tcW w:w="2268" w:type="dxa"/>
            <w:vAlign w:val="center"/>
          </w:tcPr>
          <w:p>
            <w:pPr>
              <w:pStyle w:val="27"/>
            </w:pPr>
            <w:r>
              <w:t xml:space="preserve">接待费管理办法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接待规模达标率</w:t>
            </w:r>
          </w:p>
        </w:tc>
        <w:tc>
          <w:tcPr>
            <w:tcW w:w="2835" w:type="dxa"/>
            <w:vAlign w:val="center"/>
          </w:tcPr>
          <w:p>
            <w:pPr>
              <w:pStyle w:val="27"/>
            </w:pPr>
            <w:r>
              <w:t>接待服务的等级达到相关的标准</w:t>
            </w:r>
          </w:p>
        </w:tc>
        <w:tc>
          <w:tcPr>
            <w:tcW w:w="2551" w:type="dxa"/>
            <w:vAlign w:val="center"/>
          </w:tcPr>
          <w:p>
            <w:pPr>
              <w:pStyle w:val="27"/>
            </w:pPr>
            <w:r>
              <w:t>≥100%</w:t>
            </w:r>
          </w:p>
        </w:tc>
        <w:tc>
          <w:tcPr>
            <w:tcW w:w="2268" w:type="dxa"/>
            <w:vAlign w:val="center"/>
          </w:tcPr>
          <w:p>
            <w:pPr>
              <w:pStyle w:val="27"/>
            </w:pPr>
            <w:r>
              <w:t xml:space="preserve">接待费管理办法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招待及时率</w:t>
            </w:r>
          </w:p>
        </w:tc>
        <w:tc>
          <w:tcPr>
            <w:tcW w:w="2835" w:type="dxa"/>
            <w:vAlign w:val="center"/>
          </w:tcPr>
          <w:p>
            <w:pPr>
              <w:pStyle w:val="27"/>
            </w:pPr>
            <w:r>
              <w:t>组织招待服务工作及时，满足服务对象的需求</w:t>
            </w:r>
          </w:p>
        </w:tc>
        <w:tc>
          <w:tcPr>
            <w:tcW w:w="2551" w:type="dxa"/>
            <w:vAlign w:val="center"/>
          </w:tcPr>
          <w:p>
            <w:pPr>
              <w:pStyle w:val="27"/>
            </w:pPr>
            <w:r>
              <w:t>≥100%</w:t>
            </w:r>
          </w:p>
        </w:tc>
        <w:tc>
          <w:tcPr>
            <w:tcW w:w="2268" w:type="dxa"/>
            <w:vAlign w:val="center"/>
          </w:tcPr>
          <w:p>
            <w:pPr>
              <w:pStyle w:val="27"/>
            </w:pPr>
            <w:r>
              <w:t xml:space="preserve">接待费管理办法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接待成本控制率</w:t>
            </w:r>
          </w:p>
        </w:tc>
        <w:tc>
          <w:tcPr>
            <w:tcW w:w="2835" w:type="dxa"/>
            <w:vAlign w:val="center"/>
          </w:tcPr>
          <w:p>
            <w:pPr>
              <w:pStyle w:val="27"/>
            </w:pPr>
            <w:r>
              <w:t>成本控制率=实际支出金额/预算下达数*100%</w:t>
            </w:r>
          </w:p>
        </w:tc>
        <w:tc>
          <w:tcPr>
            <w:tcW w:w="2551" w:type="dxa"/>
            <w:vAlign w:val="center"/>
          </w:tcPr>
          <w:p>
            <w:pPr>
              <w:pStyle w:val="27"/>
            </w:pPr>
            <w:r>
              <w:t>≤100%</w:t>
            </w:r>
          </w:p>
        </w:tc>
        <w:tc>
          <w:tcPr>
            <w:tcW w:w="2268" w:type="dxa"/>
            <w:vAlign w:val="center"/>
          </w:tcPr>
          <w:p>
            <w:pPr>
              <w:pStyle w:val="27"/>
            </w:pPr>
            <w:r>
              <w:t xml:space="preserve">接待费管理办法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招待费人均标准</w:t>
            </w:r>
          </w:p>
        </w:tc>
        <w:tc>
          <w:tcPr>
            <w:tcW w:w="2835" w:type="dxa"/>
            <w:vAlign w:val="center"/>
          </w:tcPr>
          <w:p>
            <w:pPr>
              <w:pStyle w:val="27"/>
            </w:pPr>
            <w:r>
              <w:t>招待费用人均标准</w:t>
            </w:r>
          </w:p>
        </w:tc>
        <w:tc>
          <w:tcPr>
            <w:tcW w:w="2551" w:type="dxa"/>
            <w:vAlign w:val="center"/>
          </w:tcPr>
          <w:p>
            <w:pPr>
              <w:pStyle w:val="27"/>
            </w:pPr>
            <w:r>
              <w:t>≤80元</w:t>
            </w:r>
          </w:p>
        </w:tc>
        <w:tc>
          <w:tcPr>
            <w:tcW w:w="2268" w:type="dxa"/>
            <w:vAlign w:val="center"/>
          </w:tcPr>
          <w:p>
            <w:pPr>
              <w:pStyle w:val="27"/>
            </w:pPr>
            <w:r>
              <w:t xml:space="preserve">接待费管理办法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效益指标</w:t>
            </w:r>
          </w:p>
        </w:tc>
        <w:tc>
          <w:tcPr>
            <w:tcW w:w="2268" w:type="dxa"/>
            <w:vAlign w:val="center"/>
          </w:tcPr>
          <w:p>
            <w:pPr>
              <w:pStyle w:val="27"/>
            </w:pPr>
            <w:r>
              <w:t>社会效益指标</w:t>
            </w:r>
          </w:p>
        </w:tc>
        <w:tc>
          <w:tcPr>
            <w:tcW w:w="2835" w:type="dxa"/>
            <w:vAlign w:val="center"/>
          </w:tcPr>
          <w:p>
            <w:pPr>
              <w:pStyle w:val="27"/>
            </w:pPr>
            <w:r>
              <w:t>提高接待服务质量</w:t>
            </w:r>
          </w:p>
        </w:tc>
        <w:tc>
          <w:tcPr>
            <w:tcW w:w="2835" w:type="dxa"/>
            <w:vAlign w:val="center"/>
          </w:tcPr>
          <w:p>
            <w:pPr>
              <w:pStyle w:val="27"/>
            </w:pPr>
            <w:r>
              <w:t>提高服务质量，满足接待人员各项生活工作需求</w:t>
            </w:r>
          </w:p>
        </w:tc>
        <w:tc>
          <w:tcPr>
            <w:tcW w:w="2551" w:type="dxa"/>
            <w:vAlign w:val="center"/>
          </w:tcPr>
          <w:p>
            <w:pPr>
              <w:pStyle w:val="27"/>
            </w:pPr>
            <w:r>
              <w:t>提高</w:t>
            </w:r>
          </w:p>
          <w:p>
            <w:pPr>
              <w:pStyle w:val="27"/>
            </w:pPr>
          </w:p>
          <w:p>
            <w:pPr>
              <w:pStyle w:val="27"/>
            </w:pPr>
          </w:p>
          <w:p>
            <w:pPr>
              <w:pStyle w:val="27"/>
            </w:pPr>
          </w:p>
        </w:tc>
        <w:tc>
          <w:tcPr>
            <w:tcW w:w="2268" w:type="dxa"/>
            <w:vAlign w:val="center"/>
          </w:tcPr>
          <w:p>
            <w:pPr>
              <w:pStyle w:val="27"/>
            </w:pPr>
            <w:r>
              <w:t xml:space="preserve">接待费管理办法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社会效益指标</w:t>
            </w:r>
          </w:p>
        </w:tc>
        <w:tc>
          <w:tcPr>
            <w:tcW w:w="2835" w:type="dxa"/>
            <w:vAlign w:val="center"/>
          </w:tcPr>
          <w:p>
            <w:pPr>
              <w:pStyle w:val="27"/>
            </w:pPr>
            <w:r>
              <w:t>保障工作正常开展</w:t>
            </w:r>
          </w:p>
        </w:tc>
        <w:tc>
          <w:tcPr>
            <w:tcW w:w="2835" w:type="dxa"/>
            <w:vAlign w:val="center"/>
          </w:tcPr>
          <w:p>
            <w:pPr>
              <w:pStyle w:val="27"/>
            </w:pPr>
            <w:r>
              <w:t>保障接待人员来承顺利开展各项工作</w:t>
            </w:r>
          </w:p>
        </w:tc>
        <w:tc>
          <w:tcPr>
            <w:tcW w:w="2551" w:type="dxa"/>
            <w:vAlign w:val="center"/>
          </w:tcPr>
          <w:p>
            <w:pPr>
              <w:pStyle w:val="27"/>
            </w:pPr>
            <w:r>
              <w:t>保障</w:t>
            </w:r>
          </w:p>
        </w:tc>
        <w:tc>
          <w:tcPr>
            <w:tcW w:w="2268" w:type="dxa"/>
            <w:vAlign w:val="center"/>
          </w:tcPr>
          <w:p>
            <w:pPr>
              <w:pStyle w:val="27"/>
            </w:pPr>
            <w:r>
              <w:t xml:space="preserve">接待费管理办法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社会效益指标</w:t>
            </w:r>
          </w:p>
        </w:tc>
        <w:tc>
          <w:tcPr>
            <w:tcW w:w="2835" w:type="dxa"/>
            <w:vAlign w:val="center"/>
          </w:tcPr>
          <w:p>
            <w:pPr>
              <w:pStyle w:val="27"/>
            </w:pPr>
            <w:r>
              <w:t>弘扬承德好客文化</w:t>
            </w:r>
          </w:p>
        </w:tc>
        <w:tc>
          <w:tcPr>
            <w:tcW w:w="2835" w:type="dxa"/>
            <w:vAlign w:val="center"/>
          </w:tcPr>
          <w:p>
            <w:pPr>
              <w:pStyle w:val="27"/>
            </w:pPr>
            <w:r>
              <w:t>对来访人员提供高质量的接待，给人宾至如归的感觉，可以很好地传播和弘扬我市好客文化</w:t>
            </w:r>
          </w:p>
        </w:tc>
        <w:tc>
          <w:tcPr>
            <w:tcW w:w="2551" w:type="dxa"/>
            <w:vAlign w:val="center"/>
          </w:tcPr>
          <w:p>
            <w:pPr>
              <w:pStyle w:val="27"/>
            </w:pPr>
            <w:r>
              <w:t>弘扬文化</w:t>
            </w:r>
          </w:p>
        </w:tc>
        <w:tc>
          <w:tcPr>
            <w:tcW w:w="2268" w:type="dxa"/>
            <w:vAlign w:val="center"/>
          </w:tcPr>
          <w:p>
            <w:pPr>
              <w:pStyle w:val="27"/>
            </w:pPr>
            <w:r>
              <w:t xml:space="preserve">接待费管理办法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8"/>
            </w:pPr>
            <w:r>
              <w:t>满意度指标</w:t>
            </w:r>
          </w:p>
        </w:tc>
        <w:tc>
          <w:tcPr>
            <w:tcW w:w="2268" w:type="dxa"/>
            <w:vAlign w:val="center"/>
          </w:tcPr>
          <w:p>
            <w:pPr>
              <w:pStyle w:val="27"/>
            </w:pPr>
            <w:r>
              <w:t>服务对象满意度指标</w:t>
            </w:r>
          </w:p>
        </w:tc>
        <w:tc>
          <w:tcPr>
            <w:tcW w:w="2835" w:type="dxa"/>
            <w:vAlign w:val="center"/>
          </w:tcPr>
          <w:p>
            <w:pPr>
              <w:pStyle w:val="27"/>
            </w:pPr>
            <w:r>
              <w:t>招待对象满意度</w:t>
            </w:r>
          </w:p>
        </w:tc>
        <w:tc>
          <w:tcPr>
            <w:tcW w:w="2835" w:type="dxa"/>
            <w:vAlign w:val="center"/>
          </w:tcPr>
          <w:p>
            <w:pPr>
              <w:pStyle w:val="27"/>
            </w:pPr>
            <w:r>
              <w:t>招待对象对服务情况的满意程度</w:t>
            </w:r>
          </w:p>
        </w:tc>
        <w:tc>
          <w:tcPr>
            <w:tcW w:w="2551" w:type="dxa"/>
            <w:vAlign w:val="center"/>
          </w:tcPr>
          <w:p>
            <w:pPr>
              <w:pStyle w:val="27"/>
            </w:pPr>
            <w:r>
              <w:t>≥100%</w:t>
            </w:r>
          </w:p>
        </w:tc>
        <w:tc>
          <w:tcPr>
            <w:tcW w:w="2268" w:type="dxa"/>
            <w:vAlign w:val="center"/>
          </w:tcPr>
          <w:p>
            <w:pPr>
              <w:pStyle w:val="27"/>
            </w:pPr>
            <w:r>
              <w:t xml:space="preserve">接待费管理办法 </w:t>
            </w:r>
          </w:p>
        </w:tc>
      </w:tr>
    </w:tbl>
    <w:p>
      <w:pPr>
        <w:pStyle w:val="25"/>
      </w:pPr>
    </w:p>
    <w:p>
      <w:pPr>
        <w:pStyle w:val="25"/>
        <w:ind w:firstLine="560"/>
      </w:pPr>
      <w:r>
        <w:rPr>
          <w:rFonts w:ascii="方正仿宋_GBK" w:hAnsi="方正仿宋_GBK" w:eastAsia="方正仿宋_GBK" w:cs="方正仿宋_GBK"/>
          <w:b/>
          <w:color w:val="000000"/>
          <w:sz w:val="28"/>
        </w:rPr>
        <w:t>7、2022年度执法检查费项目绩效目标表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6"/>
            </w:pPr>
            <w:r>
              <w:t>绩效目标</w:t>
            </w:r>
          </w:p>
        </w:tc>
        <w:tc>
          <w:tcPr>
            <w:tcW w:w="12756" w:type="dxa"/>
            <w:tcBorders>
              <w:bottom w:val="single" w:color="FFFFFF" w:sz="6" w:space="0"/>
            </w:tcBorders>
            <w:vAlign w:val="center"/>
          </w:tcPr>
          <w:p>
            <w:pPr>
              <w:pStyle w:val="27"/>
            </w:pPr>
            <w:r>
              <w:t>1.目标内容1</w:t>
            </w:r>
          </w:p>
        </w:tc>
      </w:tr>
    </w:tbl>
    <w:p>
      <w:pPr>
        <w:pStyle w:val="25"/>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产出指标</w:t>
            </w:r>
          </w:p>
        </w:tc>
        <w:tc>
          <w:tcPr>
            <w:tcW w:w="2268" w:type="dxa"/>
            <w:vAlign w:val="center"/>
          </w:tcPr>
          <w:p>
            <w:pPr>
              <w:pStyle w:val="27"/>
            </w:pPr>
            <w:r>
              <w:t>数量指标</w:t>
            </w:r>
          </w:p>
        </w:tc>
        <w:tc>
          <w:tcPr>
            <w:tcW w:w="2835" w:type="dxa"/>
            <w:vAlign w:val="center"/>
          </w:tcPr>
          <w:p>
            <w:pPr>
              <w:pStyle w:val="27"/>
            </w:pPr>
            <w:r>
              <w:t>组织视察次数</w:t>
            </w:r>
          </w:p>
        </w:tc>
        <w:tc>
          <w:tcPr>
            <w:tcW w:w="2835" w:type="dxa"/>
            <w:vAlign w:val="center"/>
          </w:tcPr>
          <w:p>
            <w:pPr>
              <w:pStyle w:val="27"/>
            </w:pPr>
            <w:r>
              <w:t>组织视察次数</w:t>
            </w:r>
          </w:p>
        </w:tc>
        <w:tc>
          <w:tcPr>
            <w:tcW w:w="2551" w:type="dxa"/>
            <w:vAlign w:val="center"/>
          </w:tcPr>
          <w:p>
            <w:pPr>
              <w:pStyle w:val="27"/>
            </w:pPr>
            <w:r>
              <w:t>≥1次</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组织执法检查次数</w:t>
            </w:r>
          </w:p>
        </w:tc>
        <w:tc>
          <w:tcPr>
            <w:tcW w:w="2835" w:type="dxa"/>
            <w:vAlign w:val="center"/>
          </w:tcPr>
          <w:p>
            <w:pPr>
              <w:pStyle w:val="27"/>
            </w:pPr>
            <w:r>
              <w:t>组织执法检查次数</w:t>
            </w:r>
          </w:p>
        </w:tc>
        <w:tc>
          <w:tcPr>
            <w:tcW w:w="2551" w:type="dxa"/>
            <w:vAlign w:val="center"/>
          </w:tcPr>
          <w:p>
            <w:pPr>
              <w:pStyle w:val="27"/>
            </w:pPr>
            <w:r>
              <w:t>≥1次</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组织专题调研次数</w:t>
            </w:r>
          </w:p>
        </w:tc>
        <w:tc>
          <w:tcPr>
            <w:tcW w:w="2835" w:type="dxa"/>
            <w:vAlign w:val="center"/>
          </w:tcPr>
          <w:p>
            <w:pPr>
              <w:pStyle w:val="27"/>
            </w:pPr>
            <w:r>
              <w:t>组织专题调研次数</w:t>
            </w:r>
          </w:p>
        </w:tc>
        <w:tc>
          <w:tcPr>
            <w:tcW w:w="2551" w:type="dxa"/>
            <w:vAlign w:val="center"/>
          </w:tcPr>
          <w:p>
            <w:pPr>
              <w:pStyle w:val="27"/>
            </w:pPr>
            <w:r>
              <w:t>≥1次</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参加活动人数</w:t>
            </w:r>
          </w:p>
        </w:tc>
        <w:tc>
          <w:tcPr>
            <w:tcW w:w="2835" w:type="dxa"/>
            <w:vAlign w:val="center"/>
          </w:tcPr>
          <w:p>
            <w:pPr>
              <w:pStyle w:val="27"/>
            </w:pPr>
            <w:r>
              <w:t>参加活动人数</w:t>
            </w:r>
          </w:p>
        </w:tc>
        <w:tc>
          <w:tcPr>
            <w:tcW w:w="2551" w:type="dxa"/>
            <w:vAlign w:val="center"/>
          </w:tcPr>
          <w:p>
            <w:pPr>
              <w:pStyle w:val="27"/>
            </w:pPr>
            <w:r>
              <w:t>≥20人</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各县区覆盖率</w:t>
            </w:r>
          </w:p>
        </w:tc>
        <w:tc>
          <w:tcPr>
            <w:tcW w:w="2835" w:type="dxa"/>
            <w:vAlign w:val="center"/>
          </w:tcPr>
          <w:p>
            <w:pPr>
              <w:pStyle w:val="27"/>
            </w:pPr>
            <w:r>
              <w:t>各县区覆盖率</w:t>
            </w:r>
          </w:p>
        </w:tc>
        <w:tc>
          <w:tcPr>
            <w:tcW w:w="2551" w:type="dxa"/>
            <w:vAlign w:val="center"/>
          </w:tcPr>
          <w:p>
            <w:pPr>
              <w:pStyle w:val="27"/>
            </w:pPr>
            <w:r>
              <w:t>≥90元</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形成审议意见</w:t>
            </w:r>
          </w:p>
        </w:tc>
        <w:tc>
          <w:tcPr>
            <w:tcW w:w="2835" w:type="dxa"/>
            <w:vAlign w:val="center"/>
          </w:tcPr>
          <w:p>
            <w:pPr>
              <w:pStyle w:val="27"/>
            </w:pPr>
            <w:r>
              <w:t>形成审议意见</w:t>
            </w:r>
          </w:p>
        </w:tc>
        <w:tc>
          <w:tcPr>
            <w:tcW w:w="2551" w:type="dxa"/>
            <w:vAlign w:val="center"/>
          </w:tcPr>
          <w:p>
            <w:pPr>
              <w:pStyle w:val="27"/>
            </w:pPr>
            <w:r>
              <w:t>≥1份</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形成调研报告</w:t>
            </w:r>
          </w:p>
        </w:tc>
        <w:tc>
          <w:tcPr>
            <w:tcW w:w="2835" w:type="dxa"/>
            <w:vAlign w:val="center"/>
          </w:tcPr>
          <w:p>
            <w:pPr>
              <w:pStyle w:val="27"/>
            </w:pPr>
            <w:r>
              <w:t>形成调研报告</w:t>
            </w:r>
          </w:p>
        </w:tc>
        <w:tc>
          <w:tcPr>
            <w:tcW w:w="2551" w:type="dxa"/>
            <w:vAlign w:val="center"/>
          </w:tcPr>
          <w:p>
            <w:pPr>
              <w:pStyle w:val="27"/>
            </w:pPr>
            <w:r>
              <w:t>≥1份</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视察检查及时性</w:t>
            </w:r>
          </w:p>
        </w:tc>
        <w:tc>
          <w:tcPr>
            <w:tcW w:w="2835" w:type="dxa"/>
            <w:vAlign w:val="center"/>
          </w:tcPr>
          <w:p>
            <w:pPr>
              <w:pStyle w:val="27"/>
            </w:pPr>
            <w:r>
              <w:t>视察检查及时性</w:t>
            </w:r>
          </w:p>
        </w:tc>
        <w:tc>
          <w:tcPr>
            <w:tcW w:w="2551" w:type="dxa"/>
            <w:vAlign w:val="center"/>
          </w:tcPr>
          <w:p>
            <w:pPr>
              <w:pStyle w:val="27"/>
            </w:pPr>
            <w:r>
              <w:t>及时</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调查研究及时性</w:t>
            </w:r>
          </w:p>
        </w:tc>
        <w:tc>
          <w:tcPr>
            <w:tcW w:w="2835" w:type="dxa"/>
            <w:vAlign w:val="center"/>
          </w:tcPr>
          <w:p>
            <w:pPr>
              <w:pStyle w:val="27"/>
            </w:pPr>
            <w:r>
              <w:t>调查研究及时性</w:t>
            </w:r>
          </w:p>
        </w:tc>
        <w:tc>
          <w:tcPr>
            <w:tcW w:w="2551" w:type="dxa"/>
            <w:vAlign w:val="center"/>
          </w:tcPr>
          <w:p>
            <w:pPr>
              <w:pStyle w:val="27"/>
            </w:pPr>
            <w:r>
              <w:t>及时</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报销差旅费标准</w:t>
            </w:r>
          </w:p>
        </w:tc>
        <w:tc>
          <w:tcPr>
            <w:tcW w:w="2835" w:type="dxa"/>
            <w:vAlign w:val="center"/>
          </w:tcPr>
          <w:p>
            <w:pPr>
              <w:pStyle w:val="27"/>
            </w:pPr>
            <w:r>
              <w:t>报销差旅费标准</w:t>
            </w:r>
          </w:p>
        </w:tc>
        <w:tc>
          <w:tcPr>
            <w:tcW w:w="2551" w:type="dxa"/>
            <w:vAlign w:val="center"/>
          </w:tcPr>
          <w:p>
            <w:pPr>
              <w:pStyle w:val="27"/>
            </w:pPr>
            <w:r>
              <w:t>≤90元</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报销差旅费标准</w:t>
            </w:r>
          </w:p>
        </w:tc>
        <w:tc>
          <w:tcPr>
            <w:tcW w:w="2835" w:type="dxa"/>
            <w:vAlign w:val="center"/>
          </w:tcPr>
          <w:p>
            <w:pPr>
              <w:pStyle w:val="27"/>
            </w:pPr>
            <w:r>
              <w:t>报销差旅费标准</w:t>
            </w:r>
          </w:p>
        </w:tc>
        <w:tc>
          <w:tcPr>
            <w:tcW w:w="2551" w:type="dxa"/>
            <w:vAlign w:val="center"/>
          </w:tcPr>
          <w:p>
            <w:pPr>
              <w:pStyle w:val="27"/>
            </w:pPr>
            <w:r>
              <w:t>≤50元</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车辆运行维护费</w:t>
            </w:r>
          </w:p>
        </w:tc>
        <w:tc>
          <w:tcPr>
            <w:tcW w:w="2835" w:type="dxa"/>
            <w:vAlign w:val="center"/>
          </w:tcPr>
          <w:p>
            <w:pPr>
              <w:pStyle w:val="27"/>
            </w:pPr>
            <w:r>
              <w:t>车辆运行维护费</w:t>
            </w:r>
          </w:p>
        </w:tc>
        <w:tc>
          <w:tcPr>
            <w:tcW w:w="2551" w:type="dxa"/>
            <w:vAlign w:val="center"/>
          </w:tcPr>
          <w:p>
            <w:pPr>
              <w:pStyle w:val="27"/>
            </w:pPr>
            <w:r>
              <w:t>≤5万元</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效益指标</w:t>
            </w:r>
          </w:p>
        </w:tc>
        <w:tc>
          <w:tcPr>
            <w:tcW w:w="2268" w:type="dxa"/>
            <w:vAlign w:val="center"/>
          </w:tcPr>
          <w:p>
            <w:pPr>
              <w:pStyle w:val="27"/>
            </w:pPr>
            <w:r>
              <w:t>经济效益指标</w:t>
            </w:r>
          </w:p>
        </w:tc>
        <w:tc>
          <w:tcPr>
            <w:tcW w:w="2835" w:type="dxa"/>
            <w:vAlign w:val="center"/>
          </w:tcPr>
          <w:p>
            <w:pPr>
              <w:pStyle w:val="27"/>
            </w:pPr>
            <w:r>
              <w:t>经济建设方面</w:t>
            </w:r>
          </w:p>
        </w:tc>
        <w:tc>
          <w:tcPr>
            <w:tcW w:w="2835" w:type="dxa"/>
            <w:vAlign w:val="center"/>
          </w:tcPr>
          <w:p>
            <w:pPr>
              <w:pStyle w:val="27"/>
            </w:pPr>
            <w:r>
              <w:t>组织专项经济发展视察，为我市经济发展谏言献策</w:t>
            </w:r>
          </w:p>
        </w:tc>
        <w:tc>
          <w:tcPr>
            <w:tcW w:w="2551" w:type="dxa"/>
            <w:vAlign w:val="center"/>
          </w:tcPr>
          <w:p>
            <w:pPr>
              <w:pStyle w:val="27"/>
            </w:pPr>
            <w:r>
              <w:t>≥1次</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社会效益指标</w:t>
            </w:r>
          </w:p>
        </w:tc>
        <w:tc>
          <w:tcPr>
            <w:tcW w:w="2835" w:type="dxa"/>
            <w:vAlign w:val="center"/>
          </w:tcPr>
          <w:p>
            <w:pPr>
              <w:pStyle w:val="27"/>
            </w:pPr>
            <w:r>
              <w:t>社会发展方面</w:t>
            </w:r>
          </w:p>
        </w:tc>
        <w:tc>
          <w:tcPr>
            <w:tcW w:w="2835" w:type="dxa"/>
            <w:vAlign w:val="center"/>
          </w:tcPr>
          <w:p>
            <w:pPr>
              <w:pStyle w:val="27"/>
            </w:pPr>
            <w:r>
              <w:t>组织专项社会发展调研，为创造和谐承德献计献策</w:t>
            </w:r>
          </w:p>
        </w:tc>
        <w:tc>
          <w:tcPr>
            <w:tcW w:w="2551" w:type="dxa"/>
            <w:vAlign w:val="center"/>
          </w:tcPr>
          <w:p>
            <w:pPr>
              <w:pStyle w:val="27"/>
            </w:pPr>
            <w:r>
              <w:t>≥1次</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生态效益指标</w:t>
            </w:r>
          </w:p>
        </w:tc>
        <w:tc>
          <w:tcPr>
            <w:tcW w:w="2835" w:type="dxa"/>
            <w:vAlign w:val="center"/>
          </w:tcPr>
          <w:p>
            <w:pPr>
              <w:pStyle w:val="27"/>
            </w:pPr>
            <w:r>
              <w:t>生态环境方面</w:t>
            </w:r>
          </w:p>
        </w:tc>
        <w:tc>
          <w:tcPr>
            <w:tcW w:w="2835" w:type="dxa"/>
            <w:vAlign w:val="center"/>
          </w:tcPr>
          <w:p>
            <w:pPr>
              <w:pStyle w:val="27"/>
            </w:pPr>
            <w:r>
              <w:t>组织专项生态执法检查，为绿色承德保驾护航</w:t>
            </w:r>
          </w:p>
        </w:tc>
        <w:tc>
          <w:tcPr>
            <w:tcW w:w="2551" w:type="dxa"/>
            <w:vAlign w:val="center"/>
          </w:tcPr>
          <w:p>
            <w:pPr>
              <w:pStyle w:val="27"/>
            </w:pPr>
            <w:r>
              <w:t>≥1次</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可持续影响指标</w:t>
            </w:r>
          </w:p>
        </w:tc>
        <w:tc>
          <w:tcPr>
            <w:tcW w:w="2835" w:type="dxa"/>
            <w:vAlign w:val="center"/>
          </w:tcPr>
          <w:p>
            <w:pPr>
              <w:pStyle w:val="27"/>
            </w:pPr>
            <w:r>
              <w:t>形成建议、议案</w:t>
            </w:r>
          </w:p>
        </w:tc>
        <w:tc>
          <w:tcPr>
            <w:tcW w:w="2835" w:type="dxa"/>
            <w:vAlign w:val="center"/>
          </w:tcPr>
          <w:p>
            <w:pPr>
              <w:pStyle w:val="27"/>
            </w:pPr>
            <w:r>
              <w:t>撰写视察、调研、执法检查报告，为我市经济建设、社会发展提供指导意见</w:t>
            </w:r>
          </w:p>
        </w:tc>
        <w:tc>
          <w:tcPr>
            <w:tcW w:w="2551" w:type="dxa"/>
            <w:vAlign w:val="center"/>
          </w:tcPr>
          <w:p>
            <w:pPr>
              <w:pStyle w:val="27"/>
            </w:pPr>
            <w:r>
              <w:t>≥3份</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满意度指标</w:t>
            </w:r>
          </w:p>
        </w:tc>
        <w:tc>
          <w:tcPr>
            <w:tcW w:w="2268" w:type="dxa"/>
            <w:vAlign w:val="center"/>
          </w:tcPr>
          <w:p>
            <w:pPr>
              <w:pStyle w:val="27"/>
            </w:pPr>
            <w:r>
              <w:t>服务对象满意度指标</w:t>
            </w:r>
          </w:p>
        </w:tc>
        <w:tc>
          <w:tcPr>
            <w:tcW w:w="2835" w:type="dxa"/>
            <w:vAlign w:val="center"/>
          </w:tcPr>
          <w:p>
            <w:pPr>
              <w:pStyle w:val="27"/>
            </w:pPr>
            <w:r>
              <w:t>服务对象满意度</w:t>
            </w:r>
          </w:p>
        </w:tc>
        <w:tc>
          <w:tcPr>
            <w:tcW w:w="2835" w:type="dxa"/>
            <w:vAlign w:val="center"/>
          </w:tcPr>
          <w:p>
            <w:pPr>
              <w:pStyle w:val="27"/>
            </w:pPr>
            <w:r>
              <w:t>常委会委员 、人大代表满意度</w:t>
            </w:r>
          </w:p>
        </w:tc>
        <w:tc>
          <w:tcPr>
            <w:tcW w:w="2551" w:type="dxa"/>
            <w:vAlign w:val="center"/>
          </w:tcPr>
          <w:p>
            <w:pPr>
              <w:pStyle w:val="27"/>
            </w:pPr>
            <w:r>
              <w:t>≥95%</w:t>
            </w:r>
          </w:p>
        </w:tc>
        <w:tc>
          <w:tcPr>
            <w:tcW w:w="2268" w:type="dxa"/>
            <w:vAlign w:val="center"/>
          </w:tcPr>
          <w:p>
            <w:pPr>
              <w:pStyle w:val="2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服务对象满意度指标</w:t>
            </w:r>
          </w:p>
        </w:tc>
        <w:tc>
          <w:tcPr>
            <w:tcW w:w="2835" w:type="dxa"/>
            <w:vAlign w:val="center"/>
          </w:tcPr>
          <w:p>
            <w:pPr>
              <w:pStyle w:val="27"/>
            </w:pPr>
            <w:r>
              <w:t>服务对象满意度</w:t>
            </w:r>
          </w:p>
        </w:tc>
        <w:tc>
          <w:tcPr>
            <w:tcW w:w="2835" w:type="dxa"/>
            <w:vAlign w:val="center"/>
          </w:tcPr>
          <w:p>
            <w:pPr>
              <w:pStyle w:val="27"/>
            </w:pPr>
            <w:r>
              <w:t>受检单位满意度</w:t>
            </w:r>
          </w:p>
        </w:tc>
        <w:tc>
          <w:tcPr>
            <w:tcW w:w="2551" w:type="dxa"/>
            <w:vAlign w:val="center"/>
          </w:tcPr>
          <w:p>
            <w:pPr>
              <w:pStyle w:val="27"/>
            </w:pPr>
            <w:r>
              <w:t>≥95%</w:t>
            </w:r>
          </w:p>
        </w:tc>
        <w:tc>
          <w:tcPr>
            <w:tcW w:w="2268" w:type="dxa"/>
            <w:vAlign w:val="center"/>
          </w:tcPr>
          <w:p>
            <w:pPr>
              <w:pStyle w:val="27"/>
            </w:pPr>
            <w:r>
              <w:t>年初工作安排</w:t>
            </w:r>
          </w:p>
        </w:tc>
      </w:tr>
    </w:tbl>
    <w:p>
      <w:pPr>
        <w:pStyle w:val="25"/>
      </w:pPr>
    </w:p>
    <w:p>
      <w:pPr>
        <w:pStyle w:val="25"/>
        <w:ind w:firstLine="560"/>
      </w:pPr>
      <w:r>
        <w:rPr>
          <w:rFonts w:ascii="方正仿宋_GBK" w:hAnsi="方正仿宋_GBK" w:eastAsia="方正仿宋_GBK" w:cs="方正仿宋_GBK"/>
          <w:b/>
          <w:color w:val="000000"/>
          <w:sz w:val="28"/>
        </w:rPr>
        <w:t>8、2022年人大立法经费项目绩效目标表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6"/>
            </w:pPr>
            <w:r>
              <w:t>绩效目标</w:t>
            </w:r>
          </w:p>
        </w:tc>
        <w:tc>
          <w:tcPr>
            <w:tcW w:w="12756" w:type="dxa"/>
            <w:tcBorders>
              <w:bottom w:val="single" w:color="FFFFFF" w:sz="6" w:space="0"/>
            </w:tcBorders>
            <w:vAlign w:val="center"/>
          </w:tcPr>
          <w:p>
            <w:pPr>
              <w:pStyle w:val="27"/>
            </w:pPr>
            <w:r>
              <w:t>1.目标内容1</w:t>
            </w:r>
          </w:p>
        </w:tc>
      </w:tr>
    </w:tbl>
    <w:p>
      <w:pPr>
        <w:pStyle w:val="25"/>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产出指标</w:t>
            </w:r>
          </w:p>
        </w:tc>
        <w:tc>
          <w:tcPr>
            <w:tcW w:w="2268" w:type="dxa"/>
            <w:vAlign w:val="center"/>
          </w:tcPr>
          <w:p>
            <w:pPr>
              <w:pStyle w:val="27"/>
            </w:pPr>
            <w:r>
              <w:t>数量指标</w:t>
            </w:r>
          </w:p>
        </w:tc>
        <w:tc>
          <w:tcPr>
            <w:tcW w:w="2835" w:type="dxa"/>
            <w:vAlign w:val="center"/>
          </w:tcPr>
          <w:p>
            <w:pPr>
              <w:pStyle w:val="27"/>
            </w:pPr>
            <w:r>
              <w:t>出具报告份数</w:t>
            </w:r>
          </w:p>
        </w:tc>
        <w:tc>
          <w:tcPr>
            <w:tcW w:w="2835" w:type="dxa"/>
            <w:vAlign w:val="center"/>
          </w:tcPr>
          <w:p>
            <w:pPr>
              <w:pStyle w:val="27"/>
            </w:pPr>
            <w:r>
              <w:t>出具报告份数</w:t>
            </w:r>
          </w:p>
        </w:tc>
        <w:tc>
          <w:tcPr>
            <w:tcW w:w="2551" w:type="dxa"/>
            <w:vAlign w:val="center"/>
          </w:tcPr>
          <w:p>
            <w:pPr>
              <w:pStyle w:val="27"/>
            </w:pPr>
            <w:r>
              <w:t>≥1份</w:t>
            </w:r>
          </w:p>
        </w:tc>
        <w:tc>
          <w:tcPr>
            <w:tcW w:w="2268" w:type="dxa"/>
            <w:vAlign w:val="center"/>
          </w:tcPr>
          <w:p>
            <w:pPr>
              <w:pStyle w:val="2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召开论证会</w:t>
            </w:r>
          </w:p>
        </w:tc>
        <w:tc>
          <w:tcPr>
            <w:tcW w:w="2835" w:type="dxa"/>
            <w:vAlign w:val="center"/>
          </w:tcPr>
          <w:p>
            <w:pPr>
              <w:pStyle w:val="27"/>
            </w:pPr>
            <w:r>
              <w:t>召开论证会</w:t>
            </w:r>
          </w:p>
        </w:tc>
        <w:tc>
          <w:tcPr>
            <w:tcW w:w="2551" w:type="dxa"/>
            <w:vAlign w:val="center"/>
          </w:tcPr>
          <w:p>
            <w:pPr>
              <w:pStyle w:val="27"/>
            </w:pPr>
            <w:r>
              <w:t>≥1次</w:t>
            </w:r>
          </w:p>
        </w:tc>
        <w:tc>
          <w:tcPr>
            <w:tcW w:w="2268" w:type="dxa"/>
            <w:vAlign w:val="center"/>
          </w:tcPr>
          <w:p>
            <w:pPr>
              <w:pStyle w:val="2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聘请第三方机构数</w:t>
            </w:r>
          </w:p>
        </w:tc>
        <w:tc>
          <w:tcPr>
            <w:tcW w:w="2835" w:type="dxa"/>
            <w:vAlign w:val="center"/>
          </w:tcPr>
          <w:p>
            <w:pPr>
              <w:pStyle w:val="27"/>
            </w:pPr>
            <w:r>
              <w:t>聘请第三方机构数</w:t>
            </w:r>
          </w:p>
        </w:tc>
        <w:tc>
          <w:tcPr>
            <w:tcW w:w="2551" w:type="dxa"/>
            <w:vAlign w:val="center"/>
          </w:tcPr>
          <w:p>
            <w:pPr>
              <w:pStyle w:val="27"/>
            </w:pPr>
            <w:r>
              <w:t>≥1个</w:t>
            </w:r>
          </w:p>
        </w:tc>
        <w:tc>
          <w:tcPr>
            <w:tcW w:w="2268" w:type="dxa"/>
            <w:vAlign w:val="center"/>
          </w:tcPr>
          <w:p>
            <w:pPr>
              <w:pStyle w:val="2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第三方参与人数</w:t>
            </w:r>
          </w:p>
        </w:tc>
        <w:tc>
          <w:tcPr>
            <w:tcW w:w="2835" w:type="dxa"/>
            <w:vAlign w:val="center"/>
          </w:tcPr>
          <w:p>
            <w:pPr>
              <w:pStyle w:val="27"/>
            </w:pPr>
            <w:r>
              <w:t>第三方参与人数</w:t>
            </w:r>
          </w:p>
        </w:tc>
        <w:tc>
          <w:tcPr>
            <w:tcW w:w="2551" w:type="dxa"/>
            <w:vAlign w:val="center"/>
          </w:tcPr>
          <w:p>
            <w:pPr>
              <w:pStyle w:val="27"/>
            </w:pPr>
            <w:r>
              <w:t>≥3人</w:t>
            </w:r>
          </w:p>
        </w:tc>
        <w:tc>
          <w:tcPr>
            <w:tcW w:w="2268" w:type="dxa"/>
            <w:vAlign w:val="center"/>
          </w:tcPr>
          <w:p>
            <w:pPr>
              <w:pStyle w:val="2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立法项目完成数量</w:t>
            </w:r>
          </w:p>
        </w:tc>
        <w:tc>
          <w:tcPr>
            <w:tcW w:w="2835" w:type="dxa"/>
            <w:vAlign w:val="center"/>
          </w:tcPr>
          <w:p>
            <w:pPr>
              <w:pStyle w:val="27"/>
            </w:pPr>
            <w:r>
              <w:t>立法项目完成数量</w:t>
            </w:r>
          </w:p>
        </w:tc>
        <w:tc>
          <w:tcPr>
            <w:tcW w:w="2551" w:type="dxa"/>
            <w:vAlign w:val="center"/>
          </w:tcPr>
          <w:p>
            <w:pPr>
              <w:pStyle w:val="27"/>
            </w:pPr>
            <w:r>
              <w:t>≥1项</w:t>
            </w:r>
          </w:p>
        </w:tc>
        <w:tc>
          <w:tcPr>
            <w:tcW w:w="2268" w:type="dxa"/>
            <w:vAlign w:val="center"/>
          </w:tcPr>
          <w:p>
            <w:pPr>
              <w:pStyle w:val="2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第三方机构资质达标性</w:t>
            </w:r>
          </w:p>
        </w:tc>
        <w:tc>
          <w:tcPr>
            <w:tcW w:w="2835" w:type="dxa"/>
            <w:vAlign w:val="center"/>
          </w:tcPr>
          <w:p>
            <w:pPr>
              <w:pStyle w:val="27"/>
            </w:pPr>
            <w:r>
              <w:t>第三方机构资质达标性</w:t>
            </w:r>
          </w:p>
        </w:tc>
        <w:tc>
          <w:tcPr>
            <w:tcW w:w="2551" w:type="dxa"/>
            <w:vAlign w:val="center"/>
          </w:tcPr>
          <w:p>
            <w:pPr>
              <w:pStyle w:val="27"/>
            </w:pPr>
            <w:r>
              <w:t>达标</w:t>
            </w:r>
          </w:p>
        </w:tc>
        <w:tc>
          <w:tcPr>
            <w:tcW w:w="2268" w:type="dxa"/>
            <w:vAlign w:val="center"/>
          </w:tcPr>
          <w:p>
            <w:pPr>
              <w:pStyle w:val="27"/>
            </w:pPr>
            <w:r>
              <w:t>资质审查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项目实施流程合规性</w:t>
            </w:r>
          </w:p>
        </w:tc>
        <w:tc>
          <w:tcPr>
            <w:tcW w:w="2835" w:type="dxa"/>
            <w:vAlign w:val="center"/>
          </w:tcPr>
          <w:p>
            <w:pPr>
              <w:pStyle w:val="27"/>
            </w:pPr>
            <w:r>
              <w:t>项目实施流程合规性</w:t>
            </w:r>
          </w:p>
        </w:tc>
        <w:tc>
          <w:tcPr>
            <w:tcW w:w="2551" w:type="dxa"/>
            <w:vAlign w:val="center"/>
          </w:tcPr>
          <w:p>
            <w:pPr>
              <w:pStyle w:val="27"/>
            </w:pPr>
            <w:r>
              <w:t>合规</w:t>
            </w:r>
          </w:p>
        </w:tc>
        <w:tc>
          <w:tcPr>
            <w:tcW w:w="2268" w:type="dxa"/>
            <w:vAlign w:val="center"/>
          </w:tcPr>
          <w:p>
            <w:pPr>
              <w:pStyle w:val="27"/>
            </w:pPr>
            <w:r>
              <w:t>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报告建议采纳率</w:t>
            </w:r>
          </w:p>
        </w:tc>
        <w:tc>
          <w:tcPr>
            <w:tcW w:w="2835" w:type="dxa"/>
            <w:vAlign w:val="center"/>
          </w:tcPr>
          <w:p>
            <w:pPr>
              <w:pStyle w:val="27"/>
            </w:pPr>
            <w:r>
              <w:t>报告建议采纳率</w:t>
            </w:r>
          </w:p>
        </w:tc>
        <w:tc>
          <w:tcPr>
            <w:tcW w:w="2551" w:type="dxa"/>
            <w:vAlign w:val="center"/>
          </w:tcPr>
          <w:p>
            <w:pPr>
              <w:pStyle w:val="27"/>
            </w:pPr>
            <w:r>
              <w:t>≥50%</w:t>
            </w:r>
          </w:p>
        </w:tc>
        <w:tc>
          <w:tcPr>
            <w:tcW w:w="2268" w:type="dxa"/>
            <w:vAlign w:val="center"/>
          </w:tcPr>
          <w:p>
            <w:pPr>
              <w:pStyle w:val="2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报告出具及时性</w:t>
            </w:r>
          </w:p>
        </w:tc>
        <w:tc>
          <w:tcPr>
            <w:tcW w:w="2835" w:type="dxa"/>
            <w:vAlign w:val="center"/>
          </w:tcPr>
          <w:p>
            <w:pPr>
              <w:pStyle w:val="27"/>
            </w:pPr>
            <w:r>
              <w:t>报告出具及时性</w:t>
            </w:r>
          </w:p>
        </w:tc>
        <w:tc>
          <w:tcPr>
            <w:tcW w:w="2551" w:type="dxa"/>
            <w:vAlign w:val="center"/>
          </w:tcPr>
          <w:p>
            <w:pPr>
              <w:pStyle w:val="27"/>
            </w:pPr>
            <w:r>
              <w:t>及时</w:t>
            </w:r>
          </w:p>
        </w:tc>
        <w:tc>
          <w:tcPr>
            <w:tcW w:w="2268" w:type="dxa"/>
            <w:vAlign w:val="center"/>
          </w:tcPr>
          <w:p>
            <w:pPr>
              <w:pStyle w:val="2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项目完成及时性</w:t>
            </w:r>
          </w:p>
        </w:tc>
        <w:tc>
          <w:tcPr>
            <w:tcW w:w="2835" w:type="dxa"/>
            <w:vAlign w:val="center"/>
          </w:tcPr>
          <w:p>
            <w:pPr>
              <w:pStyle w:val="27"/>
            </w:pPr>
            <w:r>
              <w:t>项目完成及时性</w:t>
            </w:r>
          </w:p>
        </w:tc>
        <w:tc>
          <w:tcPr>
            <w:tcW w:w="2551" w:type="dxa"/>
            <w:vAlign w:val="center"/>
          </w:tcPr>
          <w:p>
            <w:pPr>
              <w:pStyle w:val="27"/>
            </w:pPr>
            <w:r>
              <w:t>及时</w:t>
            </w:r>
          </w:p>
        </w:tc>
        <w:tc>
          <w:tcPr>
            <w:tcW w:w="2268" w:type="dxa"/>
            <w:vAlign w:val="center"/>
          </w:tcPr>
          <w:p>
            <w:pPr>
              <w:pStyle w:val="2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成本控制率</w:t>
            </w:r>
          </w:p>
        </w:tc>
        <w:tc>
          <w:tcPr>
            <w:tcW w:w="2835" w:type="dxa"/>
            <w:vAlign w:val="center"/>
          </w:tcPr>
          <w:p>
            <w:pPr>
              <w:pStyle w:val="27"/>
            </w:pPr>
            <w:r>
              <w:t>实际支出数/预算下达数*100%</w:t>
            </w:r>
          </w:p>
        </w:tc>
        <w:tc>
          <w:tcPr>
            <w:tcW w:w="2551" w:type="dxa"/>
            <w:vAlign w:val="center"/>
          </w:tcPr>
          <w:p>
            <w:pPr>
              <w:pStyle w:val="27"/>
            </w:pPr>
            <w:r>
              <w:t>≤100%</w:t>
            </w:r>
          </w:p>
        </w:tc>
        <w:tc>
          <w:tcPr>
            <w:tcW w:w="2268" w:type="dxa"/>
            <w:vAlign w:val="center"/>
          </w:tcPr>
          <w:p>
            <w:pPr>
              <w:pStyle w:val="27"/>
            </w:pPr>
            <w:r>
              <w:t xml:space="preserve">工作目标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效益指标</w:t>
            </w:r>
          </w:p>
        </w:tc>
        <w:tc>
          <w:tcPr>
            <w:tcW w:w="2268" w:type="dxa"/>
            <w:vAlign w:val="center"/>
          </w:tcPr>
          <w:p>
            <w:pPr>
              <w:pStyle w:val="27"/>
            </w:pPr>
            <w:r>
              <w:t>经济效益指标</w:t>
            </w:r>
          </w:p>
        </w:tc>
        <w:tc>
          <w:tcPr>
            <w:tcW w:w="2835" w:type="dxa"/>
            <w:vAlign w:val="center"/>
          </w:tcPr>
          <w:p>
            <w:pPr>
              <w:pStyle w:val="27"/>
            </w:pPr>
            <w:r>
              <w:t>实际达成合作意向数（以签订备忘</w:t>
            </w:r>
          </w:p>
        </w:tc>
        <w:tc>
          <w:tcPr>
            <w:tcW w:w="2835" w:type="dxa"/>
            <w:vAlign w:val="center"/>
          </w:tcPr>
          <w:p>
            <w:pPr>
              <w:pStyle w:val="27"/>
            </w:pPr>
            <w:r>
              <w:t>实际达成合作意向数（以签订备忘录或协议为准）</w:t>
            </w:r>
          </w:p>
        </w:tc>
        <w:tc>
          <w:tcPr>
            <w:tcW w:w="2551" w:type="dxa"/>
            <w:vAlign w:val="center"/>
          </w:tcPr>
          <w:p>
            <w:pPr>
              <w:pStyle w:val="27"/>
            </w:pPr>
            <w:r>
              <w:t>≥1个</w:t>
            </w:r>
          </w:p>
        </w:tc>
        <w:tc>
          <w:tcPr>
            <w:tcW w:w="2268" w:type="dxa"/>
            <w:vAlign w:val="center"/>
          </w:tcPr>
          <w:p>
            <w:pPr>
              <w:pStyle w:val="2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生态效益指标</w:t>
            </w:r>
          </w:p>
        </w:tc>
        <w:tc>
          <w:tcPr>
            <w:tcW w:w="2835" w:type="dxa"/>
            <w:vAlign w:val="center"/>
          </w:tcPr>
          <w:p>
            <w:pPr>
              <w:pStyle w:val="27"/>
            </w:pPr>
            <w:r>
              <w:t>改善水环境</w:t>
            </w:r>
          </w:p>
        </w:tc>
        <w:tc>
          <w:tcPr>
            <w:tcW w:w="2835" w:type="dxa"/>
            <w:vAlign w:val="center"/>
          </w:tcPr>
          <w:p>
            <w:pPr>
              <w:pStyle w:val="27"/>
            </w:pPr>
            <w:r>
              <w:t>有效保护水资源，改善水环境</w:t>
            </w:r>
          </w:p>
        </w:tc>
        <w:tc>
          <w:tcPr>
            <w:tcW w:w="2551" w:type="dxa"/>
            <w:vAlign w:val="center"/>
          </w:tcPr>
          <w:p>
            <w:pPr>
              <w:pStyle w:val="27"/>
            </w:pPr>
            <w:r>
              <w:t>有效保护</w:t>
            </w:r>
          </w:p>
        </w:tc>
        <w:tc>
          <w:tcPr>
            <w:tcW w:w="2268" w:type="dxa"/>
            <w:vAlign w:val="center"/>
          </w:tcPr>
          <w:p>
            <w:pPr>
              <w:pStyle w:val="27"/>
            </w:pPr>
            <w:r>
              <w:t>法律规定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经济效益指标</w:t>
            </w:r>
          </w:p>
        </w:tc>
        <w:tc>
          <w:tcPr>
            <w:tcW w:w="2835" w:type="dxa"/>
            <w:vAlign w:val="center"/>
          </w:tcPr>
          <w:p>
            <w:pPr>
              <w:pStyle w:val="27"/>
            </w:pPr>
            <w:r>
              <w:t>资金使用效益</w:t>
            </w:r>
          </w:p>
        </w:tc>
        <w:tc>
          <w:tcPr>
            <w:tcW w:w="2835" w:type="dxa"/>
            <w:vAlign w:val="center"/>
          </w:tcPr>
          <w:p>
            <w:pPr>
              <w:pStyle w:val="27"/>
            </w:pPr>
            <w:r>
              <w:t>资金使用效益</w:t>
            </w:r>
          </w:p>
        </w:tc>
        <w:tc>
          <w:tcPr>
            <w:tcW w:w="2551" w:type="dxa"/>
            <w:vAlign w:val="center"/>
          </w:tcPr>
          <w:p>
            <w:pPr>
              <w:pStyle w:val="27"/>
            </w:pPr>
            <w:r>
              <w:t>效益提升</w:t>
            </w:r>
          </w:p>
        </w:tc>
        <w:tc>
          <w:tcPr>
            <w:tcW w:w="2268" w:type="dxa"/>
            <w:vAlign w:val="center"/>
          </w:tcPr>
          <w:p>
            <w:pPr>
              <w:pStyle w:val="2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可持续影响指标</w:t>
            </w:r>
          </w:p>
        </w:tc>
        <w:tc>
          <w:tcPr>
            <w:tcW w:w="2835" w:type="dxa"/>
            <w:vAlign w:val="center"/>
          </w:tcPr>
          <w:p>
            <w:pPr>
              <w:pStyle w:val="27"/>
            </w:pPr>
            <w:r>
              <w:t>可持续性服务</w:t>
            </w:r>
          </w:p>
        </w:tc>
        <w:tc>
          <w:tcPr>
            <w:tcW w:w="2835" w:type="dxa"/>
            <w:vAlign w:val="center"/>
          </w:tcPr>
          <w:p>
            <w:pPr>
              <w:pStyle w:val="27"/>
            </w:pPr>
            <w:r>
              <w:t>可持续性服务</w:t>
            </w:r>
          </w:p>
        </w:tc>
        <w:tc>
          <w:tcPr>
            <w:tcW w:w="2551" w:type="dxa"/>
            <w:vAlign w:val="center"/>
          </w:tcPr>
          <w:p>
            <w:pPr>
              <w:pStyle w:val="27"/>
            </w:pPr>
            <w:r>
              <w:t>长期</w:t>
            </w:r>
          </w:p>
        </w:tc>
        <w:tc>
          <w:tcPr>
            <w:tcW w:w="2268" w:type="dxa"/>
            <w:vAlign w:val="center"/>
          </w:tcPr>
          <w:p>
            <w:pPr>
              <w:pStyle w:val="2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8"/>
            </w:pPr>
            <w:r>
              <w:t>满意度指标</w:t>
            </w:r>
          </w:p>
        </w:tc>
        <w:tc>
          <w:tcPr>
            <w:tcW w:w="2268" w:type="dxa"/>
            <w:vAlign w:val="center"/>
          </w:tcPr>
          <w:p>
            <w:pPr>
              <w:pStyle w:val="27"/>
            </w:pPr>
            <w:r>
              <w:t>服务对象满意度指标</w:t>
            </w:r>
          </w:p>
        </w:tc>
        <w:tc>
          <w:tcPr>
            <w:tcW w:w="2835" w:type="dxa"/>
            <w:vAlign w:val="center"/>
          </w:tcPr>
          <w:p>
            <w:pPr>
              <w:pStyle w:val="27"/>
            </w:pPr>
            <w:r>
              <w:t>普法宣传对象满意度(%)</w:t>
            </w:r>
          </w:p>
        </w:tc>
        <w:tc>
          <w:tcPr>
            <w:tcW w:w="2835" w:type="dxa"/>
            <w:vAlign w:val="center"/>
          </w:tcPr>
          <w:p>
            <w:pPr>
              <w:pStyle w:val="27"/>
            </w:pPr>
            <w:r>
              <w:t>普法宣传对象满意度(%)</w:t>
            </w:r>
          </w:p>
        </w:tc>
        <w:tc>
          <w:tcPr>
            <w:tcW w:w="2551" w:type="dxa"/>
            <w:vAlign w:val="center"/>
          </w:tcPr>
          <w:p>
            <w:pPr>
              <w:pStyle w:val="27"/>
            </w:pPr>
            <w:r>
              <w:t>≥95%</w:t>
            </w:r>
          </w:p>
        </w:tc>
        <w:tc>
          <w:tcPr>
            <w:tcW w:w="2268" w:type="dxa"/>
            <w:vAlign w:val="center"/>
          </w:tcPr>
          <w:p>
            <w:pPr>
              <w:pStyle w:val="27"/>
            </w:pPr>
            <w:r>
              <w:t>工作目标</w:t>
            </w:r>
          </w:p>
        </w:tc>
      </w:tr>
    </w:tbl>
    <w:p>
      <w:pPr>
        <w:pStyle w:val="25"/>
      </w:pPr>
    </w:p>
    <w:p>
      <w:pPr>
        <w:pStyle w:val="25"/>
      </w:pPr>
    </w:p>
    <w:p>
      <w:pPr>
        <w:pStyle w:val="25"/>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2022年，承德市人民代表大会常务委员会办公室安排政府采购预算</w:t>
      </w:r>
      <w:r>
        <w:rPr>
          <w:rFonts w:hint="eastAsia" w:eastAsia="方正仿宋_GBK"/>
          <w:color w:val="000000"/>
          <w:sz w:val="28"/>
          <w:lang w:val="en-US" w:eastAsia="zh-CN"/>
        </w:rPr>
        <w:t>15</w:t>
      </w:r>
      <w:r>
        <w:rPr>
          <w:rFonts w:eastAsia="方正仿宋_GBK"/>
          <w:color w:val="000000"/>
          <w:sz w:val="28"/>
        </w:rPr>
        <w:t>.00万元。具体内容见下表。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单位政府采购预算</w:t>
      </w:r>
    </w:p>
    <w:tbl>
      <w:tblPr>
        <w:tblStyle w:val="5"/>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774"/>
        <w:gridCol w:w="1410"/>
        <w:gridCol w:w="450"/>
        <w:gridCol w:w="615"/>
        <w:gridCol w:w="720"/>
        <w:gridCol w:w="672"/>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634" w:type="dxa"/>
            <w:gridSpan w:val="7"/>
            <w:tcBorders>
              <w:top w:val="single" w:color="FFFFFF" w:sz="6" w:space="0"/>
              <w:left w:val="single" w:color="FFFFFF" w:sz="6" w:space="0"/>
              <w:right w:val="single" w:color="FFFFFF" w:sz="6" w:space="0"/>
            </w:tcBorders>
            <w:vAlign w:val="center"/>
          </w:tcPr>
          <w:p>
            <w:pPr>
              <w:pStyle w:val="10"/>
            </w:pPr>
            <w:r>
              <w:t>101001承德市人民代表大会常务委员会办公室</w:t>
            </w:r>
          </w:p>
        </w:tc>
        <w:tc>
          <w:tcPr>
            <w:tcW w:w="838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774" w:type="dxa"/>
            <w:vMerge w:val="restart"/>
            <w:vAlign w:val="center"/>
          </w:tcPr>
          <w:p>
            <w:pPr>
              <w:pStyle w:val="11"/>
            </w:pPr>
            <w:r>
              <w:t>采购物品名称</w:t>
            </w:r>
          </w:p>
        </w:tc>
        <w:tc>
          <w:tcPr>
            <w:tcW w:w="1410" w:type="dxa"/>
            <w:vMerge w:val="restart"/>
            <w:vAlign w:val="center"/>
          </w:tcPr>
          <w:p>
            <w:pPr>
              <w:pStyle w:val="11"/>
            </w:pPr>
            <w:r>
              <w:t>政府采购目录序号</w:t>
            </w:r>
          </w:p>
        </w:tc>
        <w:tc>
          <w:tcPr>
            <w:tcW w:w="450" w:type="dxa"/>
            <w:vMerge w:val="restart"/>
            <w:vAlign w:val="center"/>
          </w:tcPr>
          <w:p>
            <w:pPr>
              <w:pStyle w:val="11"/>
            </w:pPr>
            <w:r>
              <w:t>计量  单位</w:t>
            </w:r>
          </w:p>
        </w:tc>
        <w:tc>
          <w:tcPr>
            <w:tcW w:w="615" w:type="dxa"/>
            <w:vMerge w:val="restart"/>
            <w:vAlign w:val="center"/>
          </w:tcPr>
          <w:p>
            <w:pPr>
              <w:pStyle w:val="11"/>
            </w:pPr>
            <w:r>
              <w:t>数量</w:t>
            </w:r>
          </w:p>
        </w:tc>
        <w:tc>
          <w:tcPr>
            <w:tcW w:w="720" w:type="dxa"/>
            <w:vMerge w:val="restart"/>
            <w:vAlign w:val="center"/>
          </w:tcPr>
          <w:p>
            <w:pPr>
              <w:pStyle w:val="11"/>
            </w:pPr>
            <w:r>
              <w:t>单价</w:t>
            </w:r>
          </w:p>
        </w:tc>
        <w:tc>
          <w:tcPr>
            <w:tcW w:w="7420" w:type="dxa"/>
            <w:gridSpan w:val="8"/>
            <w:vAlign w:val="center"/>
          </w:tcPr>
          <w:p>
            <w:pPr>
              <w:pStyle w:val="11"/>
            </w:pPr>
            <w:r>
              <w:t>政府采购金额（当年部门预算安排资金）</w:t>
            </w:r>
          </w:p>
        </w:tc>
        <w:tc>
          <w:tcPr>
            <w:tcW w:w="964" w:type="dxa"/>
            <w:vMerge w:val="restart"/>
            <w:vAlign w:val="center"/>
          </w:tcPr>
          <w:p>
            <w:pPr>
              <w:pStyle w:val="11"/>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774" w:type="dxa"/>
            <w:vMerge w:val="continue"/>
          </w:tcPr>
          <w:p/>
        </w:tc>
        <w:tc>
          <w:tcPr>
            <w:tcW w:w="1410" w:type="dxa"/>
            <w:vMerge w:val="continue"/>
          </w:tcPr>
          <w:p/>
        </w:tc>
        <w:tc>
          <w:tcPr>
            <w:tcW w:w="450" w:type="dxa"/>
            <w:vMerge w:val="continue"/>
          </w:tcPr>
          <w:p/>
        </w:tc>
        <w:tc>
          <w:tcPr>
            <w:tcW w:w="615" w:type="dxa"/>
            <w:vMerge w:val="continue"/>
          </w:tcPr>
          <w:p/>
        </w:tc>
        <w:tc>
          <w:tcPr>
            <w:tcW w:w="720" w:type="dxa"/>
            <w:vMerge w:val="continue"/>
          </w:tcPr>
          <w:p/>
        </w:tc>
        <w:tc>
          <w:tcPr>
            <w:tcW w:w="672"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rPr>
                <w:rFonts w:hint="default" w:eastAsia="方正书宋_GBK"/>
                <w:lang w:val="en-US" w:eastAsia="zh-CN"/>
              </w:rPr>
            </w:pPr>
            <w:r>
              <w:rPr>
                <w:rFonts w:hint="eastAsia"/>
                <w:lang w:val="en-US" w:eastAsia="zh-CN"/>
              </w:rPr>
              <w:t>业务费</w:t>
            </w:r>
          </w:p>
        </w:tc>
        <w:tc>
          <w:tcPr>
            <w:tcW w:w="964"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0.35</w:t>
            </w:r>
          </w:p>
        </w:tc>
        <w:tc>
          <w:tcPr>
            <w:tcW w:w="1774" w:type="dxa"/>
            <w:vAlign w:val="center"/>
          </w:tcPr>
          <w:p>
            <w:pPr>
              <w:pStyle w:val="13"/>
              <w:rPr>
                <w:rFonts w:hint="eastAsia" w:eastAsia="方正书宋_GBK"/>
                <w:lang w:val="en-US" w:eastAsia="zh-CN"/>
              </w:rPr>
            </w:pPr>
            <w:r>
              <w:rPr>
                <w:rFonts w:hint="eastAsia"/>
                <w:lang w:val="en-US" w:eastAsia="zh-CN"/>
              </w:rPr>
              <w:t>正厅级办公桌椅</w:t>
            </w:r>
          </w:p>
        </w:tc>
        <w:tc>
          <w:tcPr>
            <w:tcW w:w="1410" w:type="dxa"/>
            <w:vAlign w:val="center"/>
          </w:tcPr>
          <w:p>
            <w:pPr>
              <w:pStyle w:val="13"/>
              <w:rPr>
                <w:rFonts w:hint="default" w:eastAsia="方正书宋_GBK"/>
                <w:lang w:val="en-US" w:eastAsia="zh-CN"/>
              </w:rPr>
            </w:pPr>
            <w:r>
              <w:rPr>
                <w:rFonts w:hint="eastAsia"/>
                <w:lang w:val="en-US" w:eastAsia="zh-CN"/>
              </w:rPr>
              <w:t>A0601</w:t>
            </w:r>
          </w:p>
        </w:tc>
        <w:tc>
          <w:tcPr>
            <w:tcW w:w="450" w:type="dxa"/>
            <w:vAlign w:val="center"/>
          </w:tcPr>
          <w:p>
            <w:pPr>
              <w:pStyle w:val="14"/>
              <w:rPr>
                <w:rFonts w:hint="default" w:eastAsia="方正书宋_GBK"/>
                <w:lang w:val="en-US" w:eastAsia="zh-CN"/>
              </w:rPr>
            </w:pPr>
            <w:r>
              <w:rPr>
                <w:rFonts w:hint="eastAsia"/>
                <w:lang w:val="en-US" w:eastAsia="zh-CN"/>
              </w:rPr>
              <w:t>套</w:t>
            </w:r>
          </w:p>
        </w:tc>
        <w:tc>
          <w:tcPr>
            <w:tcW w:w="615" w:type="dxa"/>
            <w:vAlign w:val="center"/>
          </w:tcPr>
          <w:p>
            <w:pPr>
              <w:pStyle w:val="12"/>
              <w:rPr>
                <w:rFonts w:hint="eastAsia" w:eastAsia="方正书宋_GBK"/>
                <w:lang w:val="en-US" w:eastAsia="zh-CN"/>
              </w:rPr>
            </w:pPr>
            <w:r>
              <w:rPr>
                <w:rFonts w:hint="eastAsia"/>
                <w:lang w:val="en-US" w:eastAsia="zh-CN"/>
              </w:rPr>
              <w:t>1</w:t>
            </w:r>
          </w:p>
        </w:tc>
        <w:tc>
          <w:tcPr>
            <w:tcW w:w="720" w:type="dxa"/>
            <w:vAlign w:val="center"/>
          </w:tcPr>
          <w:p>
            <w:pPr>
              <w:pStyle w:val="12"/>
              <w:rPr>
                <w:rFonts w:hint="default" w:eastAsia="方正书宋_GBK"/>
                <w:lang w:val="en-US" w:eastAsia="zh-CN"/>
              </w:rPr>
            </w:pPr>
            <w:r>
              <w:rPr>
                <w:rFonts w:hint="eastAsia"/>
                <w:lang w:val="en-US" w:eastAsia="zh-CN"/>
              </w:rPr>
              <w:t>0.35</w:t>
            </w:r>
          </w:p>
        </w:tc>
        <w:tc>
          <w:tcPr>
            <w:tcW w:w="672"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0.35</w:t>
            </w:r>
          </w:p>
        </w:tc>
        <w:tc>
          <w:tcPr>
            <w:tcW w:w="964" w:type="dxa"/>
            <w:vAlign w:val="center"/>
          </w:tcPr>
          <w:p>
            <w:pPr>
              <w:pStyle w:val="12"/>
              <w:rPr>
                <w:rFonts w:hint="default" w:eastAsia="方正书宋_GBK"/>
                <w:lang w:val="en-US" w:eastAsia="zh-CN"/>
              </w:rPr>
            </w:pPr>
            <w:r>
              <w:rPr>
                <w:rFonts w:hint="eastAsia"/>
                <w:lang w:val="en-US" w:eastAsia="zh-CN"/>
              </w:rPr>
              <w:t>0.35</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rPr>
                <w:rFonts w:hint="eastAsia"/>
                <w:lang w:val="en-US" w:eastAsia="zh-CN"/>
              </w:rPr>
              <w:t>业务费</w:t>
            </w:r>
          </w:p>
        </w:tc>
        <w:tc>
          <w:tcPr>
            <w:tcW w:w="964"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0.6</w:t>
            </w:r>
          </w:p>
        </w:tc>
        <w:tc>
          <w:tcPr>
            <w:tcW w:w="1774" w:type="dxa"/>
            <w:vAlign w:val="center"/>
          </w:tcPr>
          <w:p>
            <w:pPr>
              <w:pStyle w:val="13"/>
            </w:pPr>
            <w:r>
              <w:rPr>
                <w:rFonts w:hint="eastAsia"/>
                <w:lang w:val="en-US" w:eastAsia="zh-CN"/>
              </w:rPr>
              <w:t>副厅级办公桌椅</w:t>
            </w:r>
          </w:p>
        </w:tc>
        <w:tc>
          <w:tcPr>
            <w:tcW w:w="1410" w:type="dxa"/>
            <w:vAlign w:val="center"/>
          </w:tcPr>
          <w:p>
            <w:pPr>
              <w:pStyle w:val="13"/>
            </w:pPr>
            <w:r>
              <w:rPr>
                <w:rFonts w:hint="eastAsia"/>
                <w:lang w:val="en-US" w:eastAsia="zh-CN"/>
              </w:rPr>
              <w:t>A0601</w:t>
            </w:r>
          </w:p>
        </w:tc>
        <w:tc>
          <w:tcPr>
            <w:tcW w:w="450" w:type="dxa"/>
            <w:vAlign w:val="center"/>
          </w:tcPr>
          <w:p>
            <w:pPr>
              <w:pStyle w:val="14"/>
            </w:pPr>
            <w:r>
              <w:rPr>
                <w:rFonts w:hint="eastAsia"/>
                <w:lang w:val="en-US" w:eastAsia="zh-CN"/>
              </w:rPr>
              <w:t>套</w:t>
            </w:r>
          </w:p>
        </w:tc>
        <w:tc>
          <w:tcPr>
            <w:tcW w:w="615" w:type="dxa"/>
            <w:vAlign w:val="center"/>
          </w:tcPr>
          <w:p>
            <w:pPr>
              <w:pStyle w:val="12"/>
              <w:rPr>
                <w:rFonts w:hint="default" w:eastAsia="方正书宋_GBK"/>
                <w:lang w:val="en-US" w:eastAsia="zh-CN"/>
              </w:rPr>
            </w:pPr>
            <w:r>
              <w:rPr>
                <w:rFonts w:hint="eastAsia"/>
                <w:lang w:val="en-US" w:eastAsia="zh-CN"/>
              </w:rPr>
              <w:t>2</w:t>
            </w:r>
          </w:p>
        </w:tc>
        <w:tc>
          <w:tcPr>
            <w:tcW w:w="720" w:type="dxa"/>
            <w:vAlign w:val="center"/>
          </w:tcPr>
          <w:p>
            <w:pPr>
              <w:pStyle w:val="12"/>
              <w:rPr>
                <w:rFonts w:hint="default" w:eastAsia="方正书宋_GBK"/>
                <w:lang w:val="en-US" w:eastAsia="zh-CN"/>
              </w:rPr>
            </w:pPr>
            <w:r>
              <w:rPr>
                <w:rFonts w:hint="eastAsia"/>
                <w:lang w:val="en-US" w:eastAsia="zh-CN"/>
              </w:rPr>
              <w:t>0.3</w:t>
            </w:r>
          </w:p>
        </w:tc>
        <w:tc>
          <w:tcPr>
            <w:tcW w:w="672"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0.6</w:t>
            </w:r>
          </w:p>
        </w:tc>
        <w:tc>
          <w:tcPr>
            <w:tcW w:w="964" w:type="dxa"/>
            <w:vAlign w:val="center"/>
          </w:tcPr>
          <w:p>
            <w:pPr>
              <w:pStyle w:val="12"/>
              <w:rPr>
                <w:rFonts w:hint="default" w:eastAsia="方正书宋_GBK"/>
                <w:lang w:val="en-US" w:eastAsia="zh-CN"/>
              </w:rPr>
            </w:pPr>
            <w:r>
              <w:rPr>
                <w:rFonts w:hint="eastAsia"/>
                <w:lang w:val="en-US" w:eastAsia="zh-CN"/>
              </w:rPr>
              <w:t>0.6</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rPr>
                <w:rFonts w:hint="eastAsia"/>
                <w:lang w:val="en-US" w:eastAsia="zh-CN"/>
              </w:rPr>
              <w:t>业务费</w:t>
            </w:r>
          </w:p>
        </w:tc>
        <w:tc>
          <w:tcPr>
            <w:tcW w:w="964"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1</w:t>
            </w:r>
          </w:p>
        </w:tc>
        <w:tc>
          <w:tcPr>
            <w:tcW w:w="1774" w:type="dxa"/>
            <w:vAlign w:val="center"/>
          </w:tcPr>
          <w:p>
            <w:pPr>
              <w:pStyle w:val="13"/>
            </w:pPr>
            <w:r>
              <w:rPr>
                <w:rFonts w:hint="eastAsia"/>
                <w:lang w:val="en-US" w:eastAsia="zh-CN"/>
              </w:rPr>
              <w:t>处级办公桌椅</w:t>
            </w:r>
          </w:p>
        </w:tc>
        <w:tc>
          <w:tcPr>
            <w:tcW w:w="1410" w:type="dxa"/>
            <w:vAlign w:val="center"/>
          </w:tcPr>
          <w:p>
            <w:pPr>
              <w:pStyle w:val="13"/>
              <w:rPr>
                <w:rFonts w:hint="default" w:ascii="方正书宋_GBK" w:hAnsi="方正书宋_GBK" w:eastAsia="方正书宋_GBK" w:cs="方正书宋_GBK"/>
                <w:sz w:val="21"/>
                <w:szCs w:val="24"/>
                <w:lang w:val="en-US" w:eastAsia="zh-CN" w:bidi="ar-SA"/>
              </w:rPr>
            </w:pPr>
            <w:r>
              <w:rPr>
                <w:rFonts w:hint="eastAsia"/>
                <w:lang w:val="en-US" w:eastAsia="zh-CN"/>
              </w:rPr>
              <w:t>A0601</w:t>
            </w:r>
          </w:p>
        </w:tc>
        <w:tc>
          <w:tcPr>
            <w:tcW w:w="450" w:type="dxa"/>
            <w:vAlign w:val="center"/>
          </w:tcPr>
          <w:p>
            <w:pPr>
              <w:pStyle w:val="14"/>
              <w:rPr>
                <w:rFonts w:hint="eastAsia" w:ascii="方正书宋_GBK" w:hAnsi="方正书宋_GBK" w:eastAsia="方正书宋_GBK" w:cs="方正书宋_GBK"/>
                <w:sz w:val="21"/>
                <w:szCs w:val="24"/>
                <w:lang w:val="en-US" w:eastAsia="zh-CN" w:bidi="ar-SA"/>
              </w:rPr>
            </w:pPr>
            <w:r>
              <w:rPr>
                <w:rFonts w:hint="eastAsia"/>
                <w:lang w:val="en-US" w:eastAsia="zh-CN"/>
              </w:rPr>
              <w:t>套</w:t>
            </w:r>
          </w:p>
        </w:tc>
        <w:tc>
          <w:tcPr>
            <w:tcW w:w="615" w:type="dxa"/>
            <w:vAlign w:val="center"/>
          </w:tcPr>
          <w:p>
            <w:pPr>
              <w:pStyle w:val="12"/>
              <w:rPr>
                <w:rFonts w:hint="default" w:eastAsia="方正书宋_GBK"/>
                <w:lang w:val="en-US" w:eastAsia="zh-CN"/>
              </w:rPr>
            </w:pPr>
            <w:r>
              <w:rPr>
                <w:rFonts w:hint="eastAsia"/>
                <w:lang w:val="en-US" w:eastAsia="zh-CN"/>
              </w:rPr>
              <w:t>4</w:t>
            </w:r>
          </w:p>
        </w:tc>
        <w:tc>
          <w:tcPr>
            <w:tcW w:w="720" w:type="dxa"/>
            <w:vAlign w:val="center"/>
          </w:tcPr>
          <w:p>
            <w:pPr>
              <w:pStyle w:val="12"/>
              <w:rPr>
                <w:rFonts w:hint="default" w:eastAsia="方正书宋_GBK"/>
                <w:lang w:val="en-US" w:eastAsia="zh-CN"/>
              </w:rPr>
            </w:pPr>
            <w:r>
              <w:rPr>
                <w:rFonts w:hint="eastAsia"/>
                <w:lang w:val="en-US" w:eastAsia="zh-CN"/>
              </w:rPr>
              <w:t>0.25</w:t>
            </w:r>
          </w:p>
        </w:tc>
        <w:tc>
          <w:tcPr>
            <w:tcW w:w="672"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1</w:t>
            </w:r>
          </w:p>
        </w:tc>
        <w:tc>
          <w:tcPr>
            <w:tcW w:w="964" w:type="dxa"/>
            <w:vAlign w:val="center"/>
          </w:tcPr>
          <w:p>
            <w:pPr>
              <w:pStyle w:val="12"/>
              <w:rPr>
                <w:rFonts w:hint="default" w:eastAsia="方正书宋_GBK"/>
                <w:lang w:val="en-US" w:eastAsia="zh-CN"/>
              </w:rPr>
            </w:pPr>
            <w:r>
              <w:rPr>
                <w:rFonts w:hint="eastAsia"/>
                <w:lang w:val="en-US" w:eastAsia="zh-CN"/>
              </w:rPr>
              <w:t>1</w:t>
            </w:r>
          </w:p>
        </w:tc>
        <w:tc>
          <w:tcPr>
            <w:tcW w:w="964" w:type="dxa"/>
            <w:vAlign w:val="center"/>
          </w:tcPr>
          <w:p>
            <w:pPr>
              <w:pStyle w:val="12"/>
              <w:rPr>
                <w:rFonts w:hint="default"/>
                <w:lang w:val="en-US"/>
              </w:rPr>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rPr>
                <w:rFonts w:hint="eastAsia"/>
                <w:lang w:val="en-US" w:eastAsia="zh-CN"/>
              </w:rPr>
              <w:t>业务费</w:t>
            </w:r>
          </w:p>
        </w:tc>
        <w:tc>
          <w:tcPr>
            <w:tcW w:w="964" w:type="dxa"/>
            <w:vAlign w:val="center"/>
          </w:tcPr>
          <w:p>
            <w:pPr>
              <w:pStyle w:val="12"/>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774" w:type="dxa"/>
            <w:vAlign w:val="center"/>
          </w:tcPr>
          <w:p>
            <w:pPr>
              <w:pStyle w:val="13"/>
              <w:rPr>
                <w:rFonts w:hint="default"/>
                <w:lang w:val="en-US" w:eastAsia="zh-CN"/>
              </w:rPr>
            </w:pPr>
            <w:r>
              <w:rPr>
                <w:rFonts w:hint="eastAsia"/>
                <w:lang w:val="en-US" w:eastAsia="zh-CN"/>
              </w:rPr>
              <w:t>科级办公桌椅</w:t>
            </w:r>
          </w:p>
        </w:tc>
        <w:tc>
          <w:tcPr>
            <w:tcW w:w="1410" w:type="dxa"/>
            <w:vAlign w:val="center"/>
          </w:tcPr>
          <w:p>
            <w:pPr>
              <w:pStyle w:val="13"/>
              <w:rPr>
                <w:rFonts w:hint="eastAsia" w:ascii="方正书宋_GBK" w:hAnsi="方正书宋_GBK" w:eastAsia="方正书宋_GBK" w:cs="方正书宋_GBK"/>
                <w:sz w:val="21"/>
                <w:szCs w:val="24"/>
                <w:lang w:val="en-US" w:eastAsia="zh-CN" w:bidi="ar-SA"/>
              </w:rPr>
            </w:pPr>
            <w:r>
              <w:rPr>
                <w:rFonts w:hint="eastAsia"/>
                <w:lang w:val="en-US" w:eastAsia="zh-CN"/>
              </w:rPr>
              <w:t>A0601</w:t>
            </w:r>
          </w:p>
        </w:tc>
        <w:tc>
          <w:tcPr>
            <w:tcW w:w="450" w:type="dxa"/>
            <w:vAlign w:val="center"/>
          </w:tcPr>
          <w:p>
            <w:pPr>
              <w:pStyle w:val="14"/>
              <w:rPr>
                <w:rFonts w:hint="eastAsia" w:ascii="方正书宋_GBK" w:hAnsi="方正书宋_GBK" w:eastAsia="方正书宋_GBK" w:cs="方正书宋_GBK"/>
                <w:sz w:val="21"/>
                <w:szCs w:val="24"/>
                <w:lang w:val="en-US" w:eastAsia="zh-CN" w:bidi="ar-SA"/>
              </w:rPr>
            </w:pPr>
            <w:r>
              <w:rPr>
                <w:rFonts w:hint="eastAsia"/>
                <w:lang w:val="en-US" w:eastAsia="zh-CN"/>
              </w:rPr>
              <w:t>套</w:t>
            </w:r>
          </w:p>
        </w:tc>
        <w:tc>
          <w:tcPr>
            <w:tcW w:w="615" w:type="dxa"/>
            <w:vAlign w:val="center"/>
          </w:tcPr>
          <w:p>
            <w:pPr>
              <w:pStyle w:val="12"/>
              <w:rPr>
                <w:rFonts w:hint="eastAsia"/>
                <w:lang w:val="en-US" w:eastAsia="zh-CN"/>
              </w:rPr>
            </w:pPr>
          </w:p>
        </w:tc>
        <w:tc>
          <w:tcPr>
            <w:tcW w:w="720" w:type="dxa"/>
            <w:vAlign w:val="center"/>
          </w:tcPr>
          <w:p>
            <w:pPr>
              <w:pStyle w:val="12"/>
              <w:rPr>
                <w:rFonts w:hint="default"/>
                <w:lang w:val="en-US" w:eastAsia="zh-CN"/>
              </w:rPr>
            </w:pPr>
            <w:r>
              <w:rPr>
                <w:rFonts w:hint="eastAsia"/>
                <w:lang w:val="en-US" w:eastAsia="zh-CN"/>
              </w:rPr>
              <w:t>0.2</w:t>
            </w:r>
          </w:p>
        </w:tc>
        <w:tc>
          <w:tcPr>
            <w:tcW w:w="672" w:type="dxa"/>
            <w:vAlign w:val="center"/>
          </w:tcPr>
          <w:p>
            <w:pPr>
              <w:pStyle w:val="12"/>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964" w:type="dxa"/>
            <w:vAlign w:val="center"/>
          </w:tcPr>
          <w:p>
            <w:pPr>
              <w:pStyle w:val="12"/>
              <w:rPr>
                <w:rFonts w:hint="eastAsia" w:eastAsia="方正书宋_GBK"/>
                <w:lang w:val="en-US" w:eastAsia="zh-CN"/>
              </w:rPr>
            </w:pPr>
            <w:r>
              <w:rPr>
                <w:rFonts w:hint="eastAsia"/>
                <w:lang w:val="en-US" w:eastAsia="zh-CN"/>
              </w:rPr>
              <w:t>2</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rPr>
                <w:rFonts w:hint="eastAsia" w:ascii="方正书宋_GBK" w:hAnsi="方正书宋_GBK" w:eastAsia="方正书宋_GBK" w:cs="方正书宋_GBK"/>
                <w:sz w:val="21"/>
                <w:szCs w:val="24"/>
                <w:lang w:val="en-US" w:eastAsia="zh-CN" w:bidi="ar-SA"/>
              </w:rPr>
            </w:pPr>
            <w:r>
              <w:rPr>
                <w:rFonts w:hint="eastAsia"/>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rPr>
                <w:rFonts w:hint="eastAsia"/>
                <w:lang w:val="en-US" w:eastAsia="zh-CN"/>
              </w:rPr>
              <w:t>业务费</w:t>
            </w:r>
          </w:p>
        </w:tc>
        <w:tc>
          <w:tcPr>
            <w:tcW w:w="964" w:type="dxa"/>
            <w:vAlign w:val="center"/>
          </w:tcPr>
          <w:p>
            <w:pPr>
              <w:pStyle w:val="12"/>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774" w:type="dxa"/>
            <w:vAlign w:val="center"/>
          </w:tcPr>
          <w:p>
            <w:pPr>
              <w:pStyle w:val="13"/>
            </w:pPr>
            <w:r>
              <w:rPr>
                <w:rFonts w:hint="eastAsia"/>
                <w:lang w:val="en-US" w:eastAsia="zh-CN"/>
              </w:rPr>
              <w:t>书柜</w:t>
            </w:r>
          </w:p>
        </w:tc>
        <w:tc>
          <w:tcPr>
            <w:tcW w:w="1410" w:type="dxa"/>
            <w:vAlign w:val="center"/>
          </w:tcPr>
          <w:p>
            <w:pPr>
              <w:pStyle w:val="13"/>
              <w:rPr>
                <w:rFonts w:hint="default" w:ascii="方正书宋_GBK" w:hAnsi="方正书宋_GBK" w:eastAsia="方正书宋_GBK" w:cs="方正书宋_GBK"/>
                <w:sz w:val="21"/>
                <w:szCs w:val="24"/>
                <w:lang w:val="en-US" w:eastAsia="zh-CN" w:bidi="ar-SA"/>
              </w:rPr>
            </w:pPr>
            <w:r>
              <w:rPr>
                <w:rFonts w:hint="eastAsia"/>
                <w:lang w:val="en-US" w:eastAsia="zh-CN"/>
              </w:rPr>
              <w:t>A0605</w:t>
            </w:r>
          </w:p>
        </w:tc>
        <w:tc>
          <w:tcPr>
            <w:tcW w:w="450" w:type="dxa"/>
            <w:vAlign w:val="center"/>
          </w:tcPr>
          <w:p>
            <w:pPr>
              <w:pStyle w:val="14"/>
              <w:rPr>
                <w:rFonts w:hint="eastAsia" w:ascii="方正书宋_GBK" w:hAnsi="方正书宋_GBK" w:eastAsia="方正书宋_GBK" w:cs="方正书宋_GBK"/>
                <w:sz w:val="21"/>
                <w:szCs w:val="24"/>
                <w:lang w:val="en-US" w:eastAsia="zh-CN" w:bidi="ar-SA"/>
              </w:rPr>
            </w:pPr>
            <w:r>
              <w:rPr>
                <w:rFonts w:hint="eastAsia"/>
                <w:lang w:val="en-US" w:eastAsia="zh-CN"/>
              </w:rPr>
              <w:t>组</w:t>
            </w:r>
          </w:p>
        </w:tc>
        <w:tc>
          <w:tcPr>
            <w:tcW w:w="615"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10</w:t>
            </w:r>
          </w:p>
        </w:tc>
        <w:tc>
          <w:tcPr>
            <w:tcW w:w="720"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0.2</w:t>
            </w:r>
          </w:p>
        </w:tc>
        <w:tc>
          <w:tcPr>
            <w:tcW w:w="672" w:type="dxa"/>
            <w:vAlign w:val="center"/>
          </w:tcPr>
          <w:p>
            <w:pPr>
              <w:pStyle w:val="12"/>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964" w:type="dxa"/>
            <w:vAlign w:val="center"/>
          </w:tcPr>
          <w:p>
            <w:pPr>
              <w:pStyle w:val="12"/>
              <w:rPr>
                <w:rFonts w:hint="eastAsia" w:eastAsia="方正书宋_GBK"/>
                <w:lang w:val="en-US" w:eastAsia="zh-CN"/>
              </w:rPr>
            </w:pPr>
            <w:r>
              <w:rPr>
                <w:rFonts w:hint="eastAsia"/>
                <w:lang w:val="en-US" w:eastAsia="zh-CN"/>
              </w:rPr>
              <w:t>2</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rPr>
                <w:rFonts w:hint="eastAsia" w:ascii="方正书宋_GBK" w:hAnsi="方正书宋_GBK" w:eastAsia="方正书宋_GBK" w:cs="方正书宋_GBK"/>
                <w:sz w:val="21"/>
                <w:szCs w:val="24"/>
                <w:lang w:val="en-US" w:eastAsia="zh-CN" w:bidi="ar-SA"/>
              </w:rPr>
            </w:pPr>
            <w:r>
              <w:rPr>
                <w:rFonts w:hint="eastAsia"/>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rPr>
                <w:rFonts w:hint="eastAsia"/>
                <w:lang w:val="en-US" w:eastAsia="zh-CN"/>
              </w:rPr>
              <w:t>业务费</w:t>
            </w:r>
          </w:p>
        </w:tc>
        <w:tc>
          <w:tcPr>
            <w:tcW w:w="964"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0.6</w:t>
            </w:r>
          </w:p>
        </w:tc>
        <w:tc>
          <w:tcPr>
            <w:tcW w:w="1774" w:type="dxa"/>
            <w:vAlign w:val="center"/>
          </w:tcPr>
          <w:p>
            <w:pPr>
              <w:pStyle w:val="13"/>
            </w:pPr>
            <w:r>
              <w:rPr>
                <w:rFonts w:hint="eastAsia"/>
                <w:lang w:val="en-US" w:eastAsia="zh-CN"/>
              </w:rPr>
              <w:t>书柜</w:t>
            </w:r>
          </w:p>
        </w:tc>
        <w:tc>
          <w:tcPr>
            <w:tcW w:w="1410" w:type="dxa"/>
            <w:vAlign w:val="center"/>
          </w:tcPr>
          <w:p>
            <w:pPr>
              <w:pStyle w:val="13"/>
              <w:rPr>
                <w:rFonts w:hint="default" w:ascii="方正书宋_GBK" w:hAnsi="方正书宋_GBK" w:eastAsia="方正书宋_GBK" w:cs="方正书宋_GBK"/>
                <w:sz w:val="21"/>
                <w:szCs w:val="24"/>
                <w:lang w:val="en-US" w:eastAsia="zh-CN" w:bidi="ar-SA"/>
              </w:rPr>
            </w:pPr>
            <w:r>
              <w:rPr>
                <w:rFonts w:hint="eastAsia"/>
                <w:lang w:val="en-US" w:eastAsia="zh-CN"/>
              </w:rPr>
              <w:t>A0605</w:t>
            </w:r>
          </w:p>
        </w:tc>
        <w:tc>
          <w:tcPr>
            <w:tcW w:w="450" w:type="dxa"/>
            <w:vAlign w:val="center"/>
          </w:tcPr>
          <w:p>
            <w:pPr>
              <w:pStyle w:val="14"/>
              <w:rPr>
                <w:rFonts w:hint="eastAsia" w:ascii="方正书宋_GBK" w:hAnsi="方正书宋_GBK" w:eastAsia="方正书宋_GBK" w:cs="方正书宋_GBK"/>
                <w:sz w:val="21"/>
                <w:szCs w:val="24"/>
                <w:lang w:val="en-US" w:eastAsia="zh-CN" w:bidi="ar-SA"/>
              </w:rPr>
            </w:pPr>
            <w:r>
              <w:rPr>
                <w:rFonts w:hint="eastAsia"/>
                <w:lang w:val="en-US" w:eastAsia="zh-CN"/>
              </w:rPr>
              <w:t>组</w:t>
            </w:r>
          </w:p>
        </w:tc>
        <w:tc>
          <w:tcPr>
            <w:tcW w:w="615"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5</w:t>
            </w:r>
          </w:p>
        </w:tc>
        <w:tc>
          <w:tcPr>
            <w:tcW w:w="720"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0.12</w:t>
            </w:r>
          </w:p>
        </w:tc>
        <w:tc>
          <w:tcPr>
            <w:tcW w:w="672"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0.6</w:t>
            </w:r>
          </w:p>
        </w:tc>
        <w:tc>
          <w:tcPr>
            <w:tcW w:w="964" w:type="dxa"/>
            <w:vAlign w:val="center"/>
          </w:tcPr>
          <w:p>
            <w:pPr>
              <w:pStyle w:val="12"/>
              <w:rPr>
                <w:rFonts w:hint="default" w:eastAsia="方正书宋_GBK"/>
                <w:lang w:val="en-US" w:eastAsia="zh-CN"/>
              </w:rPr>
            </w:pPr>
            <w:r>
              <w:rPr>
                <w:rFonts w:hint="eastAsia"/>
                <w:lang w:val="en-US" w:eastAsia="zh-CN"/>
              </w:rPr>
              <w:t>0.6</w:t>
            </w:r>
          </w:p>
        </w:tc>
        <w:tc>
          <w:tcPr>
            <w:tcW w:w="964" w:type="dxa"/>
            <w:vAlign w:val="center"/>
          </w:tcPr>
          <w:p>
            <w:pPr>
              <w:pStyle w:val="12"/>
              <w:rPr>
                <w:rFonts w:hint="default"/>
                <w:lang w:val="en-US"/>
              </w:rPr>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rPr>
                <w:rFonts w:hint="eastAsia"/>
                <w:lang w:val="en-US" w:eastAsia="zh-CN"/>
              </w:rPr>
              <w:t>业务费</w:t>
            </w:r>
          </w:p>
        </w:tc>
        <w:tc>
          <w:tcPr>
            <w:tcW w:w="964" w:type="dxa"/>
            <w:vAlign w:val="center"/>
          </w:tcPr>
          <w:p>
            <w:pPr>
              <w:pStyle w:val="12"/>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1774" w:type="dxa"/>
            <w:vAlign w:val="center"/>
          </w:tcPr>
          <w:p>
            <w:pPr>
              <w:pStyle w:val="13"/>
              <w:rPr>
                <w:rFonts w:hint="eastAsia" w:eastAsia="方正书宋_GBK"/>
                <w:lang w:val="en-US" w:eastAsia="zh-CN"/>
              </w:rPr>
            </w:pPr>
            <w:r>
              <w:rPr>
                <w:rFonts w:hint="eastAsia"/>
                <w:lang w:val="en-US" w:eastAsia="zh-CN"/>
              </w:rPr>
              <w:t>文件柜</w:t>
            </w:r>
          </w:p>
        </w:tc>
        <w:tc>
          <w:tcPr>
            <w:tcW w:w="1410" w:type="dxa"/>
            <w:vAlign w:val="center"/>
          </w:tcPr>
          <w:p>
            <w:pPr>
              <w:pStyle w:val="13"/>
              <w:rPr>
                <w:rFonts w:hint="default" w:eastAsia="方正书宋_GBK"/>
                <w:lang w:val="en-US" w:eastAsia="zh-CN"/>
              </w:rPr>
            </w:pPr>
            <w:r>
              <w:rPr>
                <w:rFonts w:hint="eastAsia"/>
                <w:lang w:val="en-US" w:eastAsia="zh-CN"/>
              </w:rPr>
              <w:t>A0605</w:t>
            </w:r>
          </w:p>
        </w:tc>
        <w:tc>
          <w:tcPr>
            <w:tcW w:w="450" w:type="dxa"/>
            <w:vAlign w:val="center"/>
          </w:tcPr>
          <w:p>
            <w:pPr>
              <w:pStyle w:val="14"/>
              <w:rPr>
                <w:rFonts w:hint="eastAsia" w:eastAsia="方正书宋_GBK"/>
                <w:lang w:val="en-US" w:eastAsia="zh-CN"/>
              </w:rPr>
            </w:pPr>
            <w:r>
              <w:rPr>
                <w:rFonts w:hint="eastAsia"/>
                <w:lang w:val="en-US" w:eastAsia="zh-CN"/>
              </w:rPr>
              <w:t>组</w:t>
            </w:r>
          </w:p>
        </w:tc>
        <w:tc>
          <w:tcPr>
            <w:tcW w:w="615" w:type="dxa"/>
            <w:vAlign w:val="center"/>
          </w:tcPr>
          <w:p>
            <w:pPr>
              <w:pStyle w:val="12"/>
              <w:rPr>
                <w:rFonts w:hint="default" w:eastAsia="方正书宋_GBK"/>
                <w:lang w:val="en-US" w:eastAsia="zh-CN"/>
              </w:rPr>
            </w:pPr>
            <w:r>
              <w:rPr>
                <w:rFonts w:hint="eastAsia"/>
                <w:lang w:val="en-US" w:eastAsia="zh-CN"/>
              </w:rPr>
              <w:t>10</w:t>
            </w:r>
          </w:p>
        </w:tc>
        <w:tc>
          <w:tcPr>
            <w:tcW w:w="720" w:type="dxa"/>
            <w:vAlign w:val="center"/>
          </w:tcPr>
          <w:p>
            <w:pPr>
              <w:pStyle w:val="12"/>
              <w:rPr>
                <w:rFonts w:hint="default" w:eastAsia="方正书宋_GBK"/>
                <w:lang w:val="en-US" w:eastAsia="zh-CN"/>
              </w:rPr>
            </w:pPr>
            <w:r>
              <w:rPr>
                <w:rFonts w:hint="eastAsia"/>
                <w:lang w:val="en-US" w:eastAsia="zh-CN"/>
              </w:rPr>
              <w:t>0.1</w:t>
            </w:r>
          </w:p>
        </w:tc>
        <w:tc>
          <w:tcPr>
            <w:tcW w:w="672" w:type="dxa"/>
            <w:vAlign w:val="center"/>
          </w:tcPr>
          <w:p>
            <w:pPr>
              <w:pStyle w:val="12"/>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964" w:type="dxa"/>
            <w:vAlign w:val="center"/>
          </w:tcPr>
          <w:p>
            <w:pPr>
              <w:pStyle w:val="12"/>
              <w:rPr>
                <w:rFonts w:hint="eastAsia" w:eastAsia="方正书宋_GBK"/>
                <w:lang w:val="en-US" w:eastAsia="zh-CN"/>
              </w:rPr>
            </w:pPr>
            <w:r>
              <w:rPr>
                <w:rFonts w:hint="eastAsia"/>
                <w:lang w:val="en-US" w:eastAsia="zh-CN"/>
              </w:rPr>
              <w:t>1</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rPr>
                <w:rFonts w:hint="eastAsia" w:ascii="方正书宋_GBK" w:hAnsi="方正书宋_GBK" w:eastAsia="方正书宋_GBK" w:cs="方正书宋_GBK"/>
                <w:sz w:val="21"/>
                <w:szCs w:val="24"/>
                <w:lang w:val="en-US" w:eastAsia="zh-CN" w:bidi="ar-SA"/>
              </w:rPr>
            </w:pPr>
            <w:r>
              <w:rPr>
                <w:rFonts w:hint="eastAsia"/>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rPr>
                <w:rFonts w:hint="eastAsia"/>
                <w:lang w:val="en-US" w:eastAsia="zh-CN"/>
              </w:rPr>
              <w:t>业务费</w:t>
            </w:r>
          </w:p>
        </w:tc>
        <w:tc>
          <w:tcPr>
            <w:tcW w:w="964"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0.42</w:t>
            </w:r>
          </w:p>
        </w:tc>
        <w:tc>
          <w:tcPr>
            <w:tcW w:w="1774" w:type="dxa"/>
            <w:vAlign w:val="center"/>
          </w:tcPr>
          <w:p>
            <w:pPr>
              <w:pStyle w:val="13"/>
              <w:rPr>
                <w:rFonts w:hint="eastAsia" w:eastAsia="方正书宋_GBK"/>
                <w:lang w:val="en-US" w:eastAsia="zh-CN"/>
              </w:rPr>
            </w:pPr>
            <w:r>
              <w:rPr>
                <w:rFonts w:hint="eastAsia"/>
                <w:lang w:val="en-US" w:eastAsia="zh-CN"/>
              </w:rPr>
              <w:t>复印纸</w:t>
            </w:r>
          </w:p>
        </w:tc>
        <w:tc>
          <w:tcPr>
            <w:tcW w:w="1410" w:type="dxa"/>
            <w:vAlign w:val="center"/>
          </w:tcPr>
          <w:p>
            <w:pPr>
              <w:pStyle w:val="13"/>
              <w:rPr>
                <w:rFonts w:hint="default" w:eastAsia="方正书宋_GBK"/>
                <w:lang w:val="en-US" w:eastAsia="zh-CN"/>
              </w:rPr>
            </w:pPr>
            <w:r>
              <w:rPr>
                <w:rFonts w:hint="eastAsia"/>
                <w:lang w:val="en-US" w:eastAsia="zh-CN"/>
              </w:rPr>
              <w:t>A090101</w:t>
            </w:r>
          </w:p>
        </w:tc>
        <w:tc>
          <w:tcPr>
            <w:tcW w:w="450" w:type="dxa"/>
            <w:vAlign w:val="center"/>
          </w:tcPr>
          <w:p>
            <w:pPr>
              <w:pStyle w:val="14"/>
              <w:rPr>
                <w:rFonts w:hint="eastAsia" w:eastAsia="方正书宋_GBK"/>
                <w:lang w:val="en-US" w:eastAsia="zh-CN"/>
              </w:rPr>
            </w:pPr>
            <w:r>
              <w:rPr>
                <w:rFonts w:hint="eastAsia"/>
                <w:lang w:val="en-US" w:eastAsia="zh-CN"/>
              </w:rPr>
              <w:t>件</w:t>
            </w:r>
          </w:p>
        </w:tc>
        <w:tc>
          <w:tcPr>
            <w:tcW w:w="615" w:type="dxa"/>
            <w:vAlign w:val="center"/>
          </w:tcPr>
          <w:p>
            <w:pPr>
              <w:pStyle w:val="12"/>
              <w:rPr>
                <w:rFonts w:hint="default" w:eastAsia="方正书宋_GBK"/>
                <w:lang w:val="en-US" w:eastAsia="zh-CN"/>
              </w:rPr>
            </w:pPr>
            <w:r>
              <w:rPr>
                <w:rFonts w:hint="eastAsia"/>
                <w:lang w:val="en-US" w:eastAsia="zh-CN"/>
              </w:rPr>
              <w:t>14</w:t>
            </w:r>
          </w:p>
        </w:tc>
        <w:tc>
          <w:tcPr>
            <w:tcW w:w="720" w:type="dxa"/>
            <w:vAlign w:val="center"/>
          </w:tcPr>
          <w:p>
            <w:pPr>
              <w:pStyle w:val="12"/>
              <w:rPr>
                <w:rFonts w:hint="default" w:eastAsia="方正书宋_GBK"/>
                <w:lang w:val="en-US" w:eastAsia="zh-CN"/>
              </w:rPr>
            </w:pPr>
            <w:r>
              <w:rPr>
                <w:rFonts w:hint="eastAsia"/>
                <w:lang w:val="en-US" w:eastAsia="zh-CN"/>
              </w:rPr>
              <w:t>0.03</w:t>
            </w:r>
          </w:p>
        </w:tc>
        <w:tc>
          <w:tcPr>
            <w:tcW w:w="672"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0.42</w:t>
            </w:r>
          </w:p>
        </w:tc>
        <w:tc>
          <w:tcPr>
            <w:tcW w:w="964" w:type="dxa"/>
            <w:vAlign w:val="center"/>
          </w:tcPr>
          <w:p>
            <w:pPr>
              <w:pStyle w:val="12"/>
              <w:rPr>
                <w:rFonts w:hint="default" w:eastAsia="方正书宋_GBK"/>
                <w:lang w:val="en-US" w:eastAsia="zh-CN"/>
              </w:rPr>
            </w:pPr>
            <w:r>
              <w:rPr>
                <w:rFonts w:hint="eastAsia"/>
                <w:lang w:val="en-US" w:eastAsia="zh-CN"/>
              </w:rPr>
              <w:t>0.42</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rPr>
                <w:rFonts w:hint="eastAsia"/>
                <w:lang w:val="en-US" w:eastAsia="zh-CN"/>
              </w:rPr>
              <w:t>业务费</w:t>
            </w:r>
          </w:p>
        </w:tc>
        <w:tc>
          <w:tcPr>
            <w:tcW w:w="964"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0.48</w:t>
            </w:r>
          </w:p>
        </w:tc>
        <w:tc>
          <w:tcPr>
            <w:tcW w:w="1774" w:type="dxa"/>
            <w:vAlign w:val="center"/>
          </w:tcPr>
          <w:p>
            <w:pPr>
              <w:pStyle w:val="13"/>
              <w:rPr>
                <w:rFonts w:hint="eastAsia" w:eastAsia="方正书宋_GBK"/>
                <w:lang w:val="en-US" w:eastAsia="zh-CN"/>
              </w:rPr>
            </w:pPr>
            <w:r>
              <w:rPr>
                <w:rFonts w:hint="eastAsia"/>
                <w:lang w:val="en-US" w:eastAsia="zh-CN"/>
              </w:rPr>
              <w:t>台式机</w:t>
            </w:r>
          </w:p>
        </w:tc>
        <w:tc>
          <w:tcPr>
            <w:tcW w:w="1410" w:type="dxa"/>
            <w:vAlign w:val="center"/>
          </w:tcPr>
          <w:p>
            <w:pPr>
              <w:pStyle w:val="13"/>
              <w:rPr>
                <w:rFonts w:hint="default" w:eastAsia="方正书宋_GBK"/>
                <w:lang w:val="en-US" w:eastAsia="zh-CN"/>
              </w:rPr>
            </w:pPr>
            <w:r>
              <w:rPr>
                <w:rFonts w:hint="eastAsia"/>
                <w:lang w:val="en-US" w:eastAsia="zh-CN"/>
              </w:rPr>
              <w:t>A02010104</w:t>
            </w:r>
          </w:p>
        </w:tc>
        <w:tc>
          <w:tcPr>
            <w:tcW w:w="450" w:type="dxa"/>
            <w:vAlign w:val="center"/>
          </w:tcPr>
          <w:p>
            <w:pPr>
              <w:pStyle w:val="14"/>
              <w:rPr>
                <w:rFonts w:hint="eastAsia" w:eastAsia="方正书宋_GBK"/>
                <w:lang w:val="en-US" w:eastAsia="zh-CN"/>
              </w:rPr>
            </w:pPr>
            <w:r>
              <w:rPr>
                <w:rFonts w:hint="eastAsia"/>
                <w:lang w:val="en-US" w:eastAsia="zh-CN"/>
              </w:rPr>
              <w:t>台</w:t>
            </w:r>
          </w:p>
        </w:tc>
        <w:tc>
          <w:tcPr>
            <w:tcW w:w="615" w:type="dxa"/>
            <w:vAlign w:val="center"/>
          </w:tcPr>
          <w:p>
            <w:pPr>
              <w:pStyle w:val="12"/>
              <w:rPr>
                <w:rFonts w:hint="default" w:eastAsia="方正书宋_GBK"/>
                <w:lang w:val="en-US" w:eastAsia="zh-CN"/>
              </w:rPr>
            </w:pPr>
            <w:r>
              <w:rPr>
                <w:rFonts w:hint="eastAsia"/>
                <w:lang w:val="en-US" w:eastAsia="zh-CN"/>
              </w:rPr>
              <w:t>1</w:t>
            </w:r>
          </w:p>
        </w:tc>
        <w:tc>
          <w:tcPr>
            <w:tcW w:w="720" w:type="dxa"/>
            <w:vAlign w:val="center"/>
          </w:tcPr>
          <w:p>
            <w:pPr>
              <w:pStyle w:val="12"/>
              <w:rPr>
                <w:rFonts w:hint="default" w:eastAsia="方正书宋_GBK"/>
                <w:lang w:val="en-US" w:eastAsia="zh-CN"/>
              </w:rPr>
            </w:pPr>
            <w:r>
              <w:rPr>
                <w:rFonts w:hint="eastAsia"/>
                <w:lang w:val="en-US" w:eastAsia="zh-CN"/>
              </w:rPr>
              <w:t>0.48</w:t>
            </w:r>
          </w:p>
        </w:tc>
        <w:tc>
          <w:tcPr>
            <w:tcW w:w="672"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0.48</w:t>
            </w:r>
          </w:p>
        </w:tc>
        <w:tc>
          <w:tcPr>
            <w:tcW w:w="964" w:type="dxa"/>
            <w:vAlign w:val="center"/>
          </w:tcPr>
          <w:p>
            <w:pPr>
              <w:pStyle w:val="12"/>
              <w:rPr>
                <w:rFonts w:hint="default" w:eastAsia="方正书宋_GBK"/>
                <w:lang w:val="en-US" w:eastAsia="zh-CN"/>
              </w:rPr>
            </w:pPr>
            <w:r>
              <w:rPr>
                <w:rFonts w:hint="eastAsia"/>
                <w:lang w:val="en-US" w:eastAsia="zh-CN"/>
              </w:rPr>
              <w:t>0.48</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rPr>
                <w:rFonts w:hint="eastAsia"/>
                <w:lang w:val="en-US" w:eastAsia="zh-CN"/>
              </w:rPr>
              <w:t>业务费</w:t>
            </w:r>
          </w:p>
        </w:tc>
        <w:tc>
          <w:tcPr>
            <w:tcW w:w="964"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1.8</w:t>
            </w:r>
          </w:p>
        </w:tc>
        <w:tc>
          <w:tcPr>
            <w:tcW w:w="1774" w:type="dxa"/>
            <w:vAlign w:val="center"/>
          </w:tcPr>
          <w:p>
            <w:pPr>
              <w:pStyle w:val="13"/>
              <w:rPr>
                <w:rFonts w:hint="eastAsia" w:eastAsia="方正书宋_GBK"/>
                <w:lang w:val="en-US" w:eastAsia="zh-CN"/>
              </w:rPr>
            </w:pPr>
            <w:r>
              <w:rPr>
                <w:rFonts w:hint="eastAsia"/>
                <w:lang w:val="en-US" w:eastAsia="zh-CN"/>
              </w:rPr>
              <w:t>笔记本电脑</w:t>
            </w:r>
          </w:p>
        </w:tc>
        <w:tc>
          <w:tcPr>
            <w:tcW w:w="1410" w:type="dxa"/>
            <w:vAlign w:val="center"/>
          </w:tcPr>
          <w:p>
            <w:pPr>
              <w:pStyle w:val="13"/>
              <w:rPr>
                <w:rFonts w:hint="default" w:eastAsia="方正书宋_GBK"/>
                <w:lang w:val="en-US" w:eastAsia="zh-CN"/>
              </w:rPr>
            </w:pPr>
            <w:r>
              <w:rPr>
                <w:rFonts w:hint="eastAsia"/>
                <w:lang w:val="en-US" w:eastAsia="zh-CN"/>
              </w:rPr>
              <w:t>A02010105</w:t>
            </w:r>
          </w:p>
        </w:tc>
        <w:tc>
          <w:tcPr>
            <w:tcW w:w="450" w:type="dxa"/>
            <w:vAlign w:val="center"/>
          </w:tcPr>
          <w:p>
            <w:pPr>
              <w:pStyle w:val="14"/>
            </w:pPr>
            <w:r>
              <w:rPr>
                <w:rFonts w:hint="eastAsia"/>
                <w:lang w:val="en-US" w:eastAsia="zh-CN"/>
              </w:rPr>
              <w:t>台</w:t>
            </w:r>
          </w:p>
        </w:tc>
        <w:tc>
          <w:tcPr>
            <w:tcW w:w="615" w:type="dxa"/>
            <w:vAlign w:val="center"/>
          </w:tcPr>
          <w:p>
            <w:pPr>
              <w:pStyle w:val="12"/>
              <w:rPr>
                <w:rFonts w:hint="eastAsia" w:eastAsia="方正书宋_GBK"/>
                <w:lang w:val="en-US" w:eastAsia="zh-CN"/>
              </w:rPr>
            </w:pPr>
            <w:r>
              <w:rPr>
                <w:rFonts w:hint="eastAsia"/>
                <w:lang w:val="en-US" w:eastAsia="zh-CN"/>
              </w:rPr>
              <w:t>3</w:t>
            </w:r>
          </w:p>
        </w:tc>
        <w:tc>
          <w:tcPr>
            <w:tcW w:w="720" w:type="dxa"/>
            <w:vAlign w:val="center"/>
          </w:tcPr>
          <w:p>
            <w:pPr>
              <w:pStyle w:val="12"/>
              <w:rPr>
                <w:rFonts w:hint="default" w:eastAsia="方正书宋_GBK"/>
                <w:lang w:val="en-US" w:eastAsia="zh-CN"/>
              </w:rPr>
            </w:pPr>
            <w:r>
              <w:rPr>
                <w:rFonts w:hint="eastAsia"/>
                <w:lang w:val="en-US" w:eastAsia="zh-CN"/>
              </w:rPr>
              <w:t>0.6</w:t>
            </w:r>
          </w:p>
        </w:tc>
        <w:tc>
          <w:tcPr>
            <w:tcW w:w="672"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1.8</w:t>
            </w:r>
          </w:p>
        </w:tc>
        <w:tc>
          <w:tcPr>
            <w:tcW w:w="964" w:type="dxa"/>
            <w:vAlign w:val="center"/>
          </w:tcPr>
          <w:p>
            <w:pPr>
              <w:pStyle w:val="12"/>
              <w:rPr>
                <w:rFonts w:hint="default" w:eastAsia="方正书宋_GBK"/>
                <w:lang w:val="en-US" w:eastAsia="zh-CN"/>
              </w:rPr>
            </w:pPr>
            <w:r>
              <w:rPr>
                <w:rFonts w:hint="eastAsia"/>
                <w:lang w:val="en-US" w:eastAsia="zh-CN"/>
              </w:rPr>
              <w:t>1.8</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rPr>
                <w:rFonts w:hint="eastAsia"/>
                <w:lang w:val="en-US" w:eastAsia="zh-CN"/>
              </w:rPr>
              <w:t>业务费</w:t>
            </w:r>
          </w:p>
        </w:tc>
        <w:tc>
          <w:tcPr>
            <w:tcW w:w="964"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0.65</w:t>
            </w:r>
          </w:p>
        </w:tc>
        <w:tc>
          <w:tcPr>
            <w:tcW w:w="1774" w:type="dxa"/>
            <w:vAlign w:val="center"/>
          </w:tcPr>
          <w:p>
            <w:pPr>
              <w:pStyle w:val="13"/>
              <w:rPr>
                <w:rFonts w:hint="default" w:eastAsia="方正书宋_GBK"/>
                <w:lang w:val="en-US" w:eastAsia="zh-CN"/>
              </w:rPr>
            </w:pPr>
            <w:r>
              <w:rPr>
                <w:rFonts w:hint="eastAsia"/>
                <w:lang w:val="en-US" w:eastAsia="zh-CN"/>
              </w:rPr>
              <w:t>A3打印机</w:t>
            </w:r>
          </w:p>
        </w:tc>
        <w:tc>
          <w:tcPr>
            <w:tcW w:w="1410" w:type="dxa"/>
            <w:vAlign w:val="center"/>
          </w:tcPr>
          <w:p>
            <w:pPr>
              <w:pStyle w:val="13"/>
              <w:rPr>
                <w:rFonts w:hint="default" w:eastAsia="方正书宋_GBK"/>
                <w:lang w:val="en-US" w:eastAsia="zh-CN"/>
              </w:rPr>
            </w:pPr>
            <w:r>
              <w:rPr>
                <w:rFonts w:hint="eastAsia"/>
                <w:lang w:val="en-US" w:eastAsia="zh-CN"/>
              </w:rPr>
              <w:t>A0201060102</w:t>
            </w:r>
          </w:p>
        </w:tc>
        <w:tc>
          <w:tcPr>
            <w:tcW w:w="450" w:type="dxa"/>
            <w:vAlign w:val="center"/>
          </w:tcPr>
          <w:p>
            <w:pPr>
              <w:pStyle w:val="14"/>
            </w:pPr>
            <w:r>
              <w:rPr>
                <w:rFonts w:hint="eastAsia"/>
                <w:lang w:val="en-US" w:eastAsia="zh-CN"/>
              </w:rPr>
              <w:t>台</w:t>
            </w:r>
          </w:p>
        </w:tc>
        <w:tc>
          <w:tcPr>
            <w:tcW w:w="615" w:type="dxa"/>
            <w:vAlign w:val="center"/>
          </w:tcPr>
          <w:p>
            <w:pPr>
              <w:pStyle w:val="12"/>
              <w:rPr>
                <w:rFonts w:hint="default" w:eastAsia="方正书宋_GBK"/>
                <w:lang w:val="en-US" w:eastAsia="zh-CN"/>
              </w:rPr>
            </w:pPr>
            <w:r>
              <w:rPr>
                <w:rFonts w:hint="eastAsia"/>
                <w:lang w:val="en-US" w:eastAsia="zh-CN"/>
              </w:rPr>
              <w:t>1</w:t>
            </w:r>
          </w:p>
        </w:tc>
        <w:tc>
          <w:tcPr>
            <w:tcW w:w="720" w:type="dxa"/>
            <w:vAlign w:val="center"/>
          </w:tcPr>
          <w:p>
            <w:pPr>
              <w:pStyle w:val="12"/>
              <w:rPr>
                <w:rFonts w:hint="default" w:eastAsia="方正书宋_GBK"/>
                <w:lang w:val="en-US" w:eastAsia="zh-CN"/>
              </w:rPr>
            </w:pPr>
            <w:r>
              <w:rPr>
                <w:rFonts w:hint="eastAsia"/>
                <w:lang w:val="en-US" w:eastAsia="zh-CN"/>
              </w:rPr>
              <w:t>0.65</w:t>
            </w:r>
          </w:p>
        </w:tc>
        <w:tc>
          <w:tcPr>
            <w:tcW w:w="672"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0.65</w:t>
            </w:r>
          </w:p>
        </w:tc>
        <w:tc>
          <w:tcPr>
            <w:tcW w:w="964" w:type="dxa"/>
            <w:vAlign w:val="center"/>
          </w:tcPr>
          <w:p>
            <w:pPr>
              <w:pStyle w:val="12"/>
              <w:rPr>
                <w:rFonts w:hint="default" w:eastAsia="方正书宋_GBK"/>
                <w:lang w:val="en-US" w:eastAsia="zh-CN"/>
              </w:rPr>
            </w:pPr>
            <w:r>
              <w:rPr>
                <w:rFonts w:hint="eastAsia"/>
                <w:lang w:val="en-US" w:eastAsia="zh-CN"/>
              </w:rPr>
              <w:t>0.65</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2" w:hRule="atLeast"/>
          <w:jc w:val="center"/>
        </w:trPr>
        <w:tc>
          <w:tcPr>
            <w:tcW w:w="1701" w:type="dxa"/>
            <w:vAlign w:val="center"/>
          </w:tcPr>
          <w:p>
            <w:pPr>
              <w:pStyle w:val="13"/>
            </w:pPr>
            <w:r>
              <w:rPr>
                <w:rFonts w:hint="eastAsia"/>
                <w:lang w:val="en-US" w:eastAsia="zh-CN"/>
              </w:rPr>
              <w:t>业务费</w:t>
            </w:r>
          </w:p>
        </w:tc>
        <w:tc>
          <w:tcPr>
            <w:tcW w:w="964"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0.5</w:t>
            </w:r>
          </w:p>
        </w:tc>
        <w:tc>
          <w:tcPr>
            <w:tcW w:w="1774" w:type="dxa"/>
            <w:vAlign w:val="center"/>
          </w:tcPr>
          <w:p>
            <w:pPr>
              <w:pStyle w:val="13"/>
              <w:rPr>
                <w:rFonts w:hint="eastAsia"/>
                <w:lang w:val="en-US" w:eastAsia="zh-CN"/>
              </w:rPr>
            </w:pPr>
            <w:r>
              <w:rPr>
                <w:rFonts w:hint="eastAsia"/>
                <w:lang w:val="en-US" w:eastAsia="zh-CN"/>
              </w:rPr>
              <w:t>A4打印机</w:t>
            </w:r>
          </w:p>
        </w:tc>
        <w:tc>
          <w:tcPr>
            <w:tcW w:w="1410" w:type="dxa"/>
            <w:vAlign w:val="center"/>
          </w:tcPr>
          <w:p>
            <w:pPr>
              <w:pStyle w:val="13"/>
              <w:rPr>
                <w:rFonts w:hint="eastAsia"/>
                <w:lang w:val="en-US" w:eastAsia="zh-CN"/>
              </w:rPr>
            </w:pPr>
            <w:r>
              <w:rPr>
                <w:rFonts w:hint="eastAsia"/>
                <w:lang w:val="en-US" w:eastAsia="zh-CN"/>
              </w:rPr>
              <w:t>A0201060102</w:t>
            </w:r>
          </w:p>
        </w:tc>
        <w:tc>
          <w:tcPr>
            <w:tcW w:w="450" w:type="dxa"/>
            <w:vAlign w:val="center"/>
          </w:tcPr>
          <w:p>
            <w:pPr>
              <w:pStyle w:val="14"/>
              <w:rPr>
                <w:rFonts w:hint="eastAsia"/>
                <w:lang w:val="en-US" w:eastAsia="zh-CN"/>
              </w:rPr>
            </w:pPr>
            <w:r>
              <w:rPr>
                <w:rFonts w:hint="eastAsia"/>
                <w:lang w:val="en-US" w:eastAsia="zh-CN"/>
              </w:rPr>
              <w:t>台</w:t>
            </w:r>
          </w:p>
        </w:tc>
        <w:tc>
          <w:tcPr>
            <w:tcW w:w="615" w:type="dxa"/>
            <w:vAlign w:val="center"/>
          </w:tcPr>
          <w:p>
            <w:pPr>
              <w:pStyle w:val="12"/>
              <w:rPr>
                <w:rFonts w:hint="default" w:eastAsia="方正书宋_GBK"/>
                <w:lang w:val="en-US" w:eastAsia="zh-CN"/>
              </w:rPr>
            </w:pPr>
            <w:r>
              <w:rPr>
                <w:rFonts w:hint="eastAsia"/>
                <w:lang w:val="en-US" w:eastAsia="zh-CN"/>
              </w:rPr>
              <w:t>2</w:t>
            </w:r>
          </w:p>
        </w:tc>
        <w:tc>
          <w:tcPr>
            <w:tcW w:w="720" w:type="dxa"/>
            <w:vAlign w:val="center"/>
          </w:tcPr>
          <w:p>
            <w:pPr>
              <w:pStyle w:val="12"/>
              <w:rPr>
                <w:rFonts w:hint="default"/>
                <w:lang w:val="en-US" w:eastAsia="zh-CN"/>
              </w:rPr>
            </w:pPr>
            <w:r>
              <w:rPr>
                <w:rFonts w:hint="eastAsia"/>
                <w:lang w:val="en-US" w:eastAsia="zh-CN"/>
              </w:rPr>
              <w:t>0.25</w:t>
            </w:r>
          </w:p>
        </w:tc>
        <w:tc>
          <w:tcPr>
            <w:tcW w:w="672"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0.5</w:t>
            </w:r>
          </w:p>
        </w:tc>
        <w:tc>
          <w:tcPr>
            <w:tcW w:w="964" w:type="dxa"/>
            <w:vAlign w:val="center"/>
          </w:tcPr>
          <w:p>
            <w:pPr>
              <w:pStyle w:val="12"/>
              <w:rPr>
                <w:rFonts w:hint="default" w:eastAsia="方正书宋_GBK"/>
                <w:lang w:val="en-US" w:eastAsia="zh-CN"/>
              </w:rPr>
            </w:pPr>
            <w:r>
              <w:rPr>
                <w:rFonts w:hint="eastAsia"/>
                <w:lang w:val="en-US" w:eastAsia="zh-CN"/>
              </w:rPr>
              <w:t>0.5</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rPr>
                <w:rFonts w:hint="eastAsia"/>
                <w:lang w:val="en-US" w:eastAsia="zh-CN"/>
              </w:rPr>
              <w:t>业务费</w:t>
            </w:r>
          </w:p>
        </w:tc>
        <w:tc>
          <w:tcPr>
            <w:tcW w:w="964"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2.4</w:t>
            </w:r>
          </w:p>
        </w:tc>
        <w:tc>
          <w:tcPr>
            <w:tcW w:w="1774" w:type="dxa"/>
            <w:vAlign w:val="center"/>
          </w:tcPr>
          <w:p>
            <w:pPr>
              <w:pStyle w:val="13"/>
              <w:rPr>
                <w:rFonts w:hint="default"/>
                <w:lang w:val="en-US" w:eastAsia="zh-CN"/>
              </w:rPr>
            </w:pPr>
            <w:r>
              <w:rPr>
                <w:rFonts w:hint="eastAsia"/>
                <w:lang w:val="en-US" w:eastAsia="zh-CN"/>
              </w:rPr>
              <w:t>沙发(厅级)</w:t>
            </w:r>
          </w:p>
        </w:tc>
        <w:tc>
          <w:tcPr>
            <w:tcW w:w="1410" w:type="dxa"/>
            <w:vAlign w:val="center"/>
          </w:tcPr>
          <w:p>
            <w:pPr>
              <w:pStyle w:val="13"/>
              <w:rPr>
                <w:rFonts w:hint="default"/>
                <w:lang w:val="en-US" w:eastAsia="zh-CN"/>
              </w:rPr>
            </w:pPr>
            <w:r>
              <w:rPr>
                <w:rFonts w:hint="eastAsia"/>
                <w:lang w:val="en-US" w:eastAsia="zh-CN"/>
              </w:rPr>
              <w:t>A0604</w:t>
            </w:r>
          </w:p>
        </w:tc>
        <w:tc>
          <w:tcPr>
            <w:tcW w:w="450" w:type="dxa"/>
            <w:vAlign w:val="center"/>
          </w:tcPr>
          <w:p>
            <w:pPr>
              <w:pStyle w:val="14"/>
              <w:rPr>
                <w:rFonts w:hint="default"/>
                <w:lang w:val="en-US" w:eastAsia="zh-CN"/>
              </w:rPr>
            </w:pPr>
            <w:r>
              <w:rPr>
                <w:rFonts w:hint="eastAsia"/>
                <w:lang w:val="en-US" w:eastAsia="zh-CN"/>
              </w:rPr>
              <w:t>套</w:t>
            </w:r>
          </w:p>
        </w:tc>
        <w:tc>
          <w:tcPr>
            <w:tcW w:w="615" w:type="dxa"/>
            <w:vAlign w:val="center"/>
          </w:tcPr>
          <w:p>
            <w:pPr>
              <w:pStyle w:val="12"/>
              <w:rPr>
                <w:rFonts w:hint="eastAsia" w:eastAsia="方正书宋_GBK"/>
                <w:lang w:val="en-US" w:eastAsia="zh-CN"/>
              </w:rPr>
            </w:pPr>
            <w:r>
              <w:rPr>
                <w:rFonts w:hint="eastAsia"/>
                <w:lang w:val="en-US" w:eastAsia="zh-CN"/>
              </w:rPr>
              <w:t>6</w:t>
            </w:r>
          </w:p>
        </w:tc>
        <w:tc>
          <w:tcPr>
            <w:tcW w:w="720" w:type="dxa"/>
            <w:vAlign w:val="center"/>
          </w:tcPr>
          <w:p>
            <w:pPr>
              <w:pStyle w:val="12"/>
              <w:rPr>
                <w:rFonts w:hint="default"/>
                <w:lang w:val="en-US" w:eastAsia="zh-CN"/>
              </w:rPr>
            </w:pPr>
            <w:r>
              <w:rPr>
                <w:rFonts w:hint="eastAsia"/>
                <w:lang w:val="en-US" w:eastAsia="zh-CN"/>
              </w:rPr>
              <w:t>0.4</w:t>
            </w:r>
          </w:p>
        </w:tc>
        <w:tc>
          <w:tcPr>
            <w:tcW w:w="672"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2.4</w:t>
            </w:r>
          </w:p>
        </w:tc>
        <w:tc>
          <w:tcPr>
            <w:tcW w:w="964" w:type="dxa"/>
            <w:vAlign w:val="center"/>
          </w:tcPr>
          <w:p>
            <w:pPr>
              <w:pStyle w:val="12"/>
              <w:rPr>
                <w:rFonts w:hint="default" w:eastAsia="方正书宋_GBK"/>
                <w:lang w:val="en-US" w:eastAsia="zh-CN"/>
              </w:rPr>
            </w:pPr>
            <w:r>
              <w:rPr>
                <w:rFonts w:hint="eastAsia"/>
                <w:lang w:val="en-US" w:eastAsia="zh-CN"/>
              </w:rPr>
              <w:t>2.4</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rPr>
                <w:rFonts w:hint="eastAsia"/>
                <w:lang w:val="en-US" w:eastAsia="zh-CN"/>
              </w:rPr>
              <w:t>业务费</w:t>
            </w:r>
          </w:p>
        </w:tc>
        <w:tc>
          <w:tcPr>
            <w:tcW w:w="964"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1.2</w:t>
            </w:r>
          </w:p>
        </w:tc>
        <w:tc>
          <w:tcPr>
            <w:tcW w:w="1774" w:type="dxa"/>
            <w:vAlign w:val="center"/>
          </w:tcPr>
          <w:p>
            <w:pPr>
              <w:pStyle w:val="13"/>
              <w:rPr>
                <w:rFonts w:hint="eastAsia" w:ascii="方正书宋_GBK" w:hAnsi="方正书宋_GBK" w:eastAsia="方正书宋_GBK" w:cs="方正书宋_GBK"/>
                <w:sz w:val="21"/>
                <w:szCs w:val="24"/>
                <w:lang w:val="en-US" w:eastAsia="zh-CN" w:bidi="ar-SA"/>
              </w:rPr>
            </w:pPr>
            <w:r>
              <w:rPr>
                <w:rFonts w:hint="eastAsia"/>
                <w:lang w:val="en-US" w:eastAsia="zh-CN"/>
              </w:rPr>
              <w:t>沙发(处级)</w:t>
            </w:r>
          </w:p>
        </w:tc>
        <w:tc>
          <w:tcPr>
            <w:tcW w:w="1410" w:type="dxa"/>
            <w:vAlign w:val="center"/>
          </w:tcPr>
          <w:p>
            <w:pPr>
              <w:pStyle w:val="13"/>
              <w:rPr>
                <w:rFonts w:hint="eastAsia" w:ascii="方正书宋_GBK" w:hAnsi="方正书宋_GBK" w:eastAsia="方正书宋_GBK" w:cs="方正书宋_GBK"/>
                <w:sz w:val="21"/>
                <w:szCs w:val="24"/>
                <w:lang w:val="en-US" w:eastAsia="zh-CN" w:bidi="ar-SA"/>
              </w:rPr>
            </w:pPr>
            <w:r>
              <w:rPr>
                <w:rFonts w:hint="eastAsia"/>
                <w:lang w:val="en-US" w:eastAsia="zh-CN"/>
              </w:rPr>
              <w:t>A0604</w:t>
            </w:r>
          </w:p>
        </w:tc>
        <w:tc>
          <w:tcPr>
            <w:tcW w:w="450" w:type="dxa"/>
            <w:vAlign w:val="center"/>
          </w:tcPr>
          <w:p>
            <w:pPr>
              <w:pStyle w:val="14"/>
              <w:rPr>
                <w:rFonts w:hint="eastAsia" w:ascii="方正书宋_GBK" w:hAnsi="方正书宋_GBK" w:eastAsia="方正书宋_GBK" w:cs="方正书宋_GBK"/>
                <w:sz w:val="21"/>
                <w:szCs w:val="24"/>
                <w:lang w:val="en-US" w:eastAsia="zh-CN" w:bidi="ar-SA"/>
              </w:rPr>
            </w:pPr>
            <w:r>
              <w:rPr>
                <w:rFonts w:hint="eastAsia"/>
                <w:lang w:val="en-US" w:eastAsia="zh-CN"/>
              </w:rPr>
              <w:t>套</w:t>
            </w:r>
          </w:p>
        </w:tc>
        <w:tc>
          <w:tcPr>
            <w:tcW w:w="615" w:type="dxa"/>
            <w:vAlign w:val="center"/>
          </w:tcPr>
          <w:p>
            <w:pPr>
              <w:pStyle w:val="12"/>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w:t>
            </w:r>
          </w:p>
        </w:tc>
        <w:tc>
          <w:tcPr>
            <w:tcW w:w="720"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0.2</w:t>
            </w:r>
          </w:p>
        </w:tc>
        <w:tc>
          <w:tcPr>
            <w:tcW w:w="672"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1.2</w:t>
            </w:r>
          </w:p>
        </w:tc>
        <w:tc>
          <w:tcPr>
            <w:tcW w:w="964" w:type="dxa"/>
            <w:vAlign w:val="center"/>
          </w:tcPr>
          <w:p>
            <w:pPr>
              <w:pStyle w:val="12"/>
              <w:rPr>
                <w:rFonts w:hint="default" w:eastAsia="方正书宋_GBK"/>
                <w:lang w:val="en-US" w:eastAsia="zh-CN"/>
              </w:rPr>
            </w:pPr>
            <w:r>
              <w:rPr>
                <w:rFonts w:hint="eastAsia"/>
                <w:lang w:val="en-US" w:eastAsia="zh-CN"/>
              </w:rPr>
              <w:t>1.2</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1.2</w:t>
            </w:r>
          </w:p>
        </w:tc>
      </w:tr>
    </w:tbl>
    <w:p>
      <w:pPr>
        <w:spacing w:line="500" w:lineRule="exact"/>
        <w:ind w:firstLine="420"/>
        <w:rPr>
          <w:rFonts w:ascii="方正书宋_GBK" w:hAnsi="方正书宋_GBK" w:eastAsia="方正书宋_GBK" w:cs="方正书宋_GBK"/>
          <w:color w:val="000000"/>
          <w:sz w:val="21"/>
        </w:rPr>
      </w:pPr>
    </w:p>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
      <w:pPr>
        <w:spacing w:before="10" w:after="10"/>
        <w:outlineLvl w:val="5"/>
      </w:pPr>
      <w:r>
        <w:rPr>
          <w:rFonts w:hint="eastAsia" w:ascii="黑体" w:hAnsi="黑体" w:eastAsia="黑体" w:cs="黑体"/>
          <w:color w:val="000000"/>
          <w:sz w:val="32"/>
          <w:lang w:val="en-US" w:eastAsia="zh-CN"/>
        </w:rPr>
        <w:t xml:space="preserve">   </w:t>
      </w: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承德市人民代表大会常务委员会办公室上年末固定资产金额为</w:t>
      </w:r>
      <w:r>
        <w:rPr>
          <w:rFonts w:hint="eastAsia" w:eastAsia="方正仿宋_GBK"/>
          <w:color w:val="000000"/>
          <w:sz w:val="28"/>
          <w:lang w:val="en-US" w:eastAsia="zh-CN"/>
        </w:rPr>
        <w:t>310.24</w:t>
      </w:r>
      <w:r>
        <w:rPr>
          <w:rFonts w:eastAsia="方正仿宋_GBK"/>
          <w:color w:val="000000"/>
          <w:sz w:val="28"/>
        </w:rPr>
        <w:t>万元（详见下表）。本年度拟购置固定资产总额为</w:t>
      </w:r>
      <w:r>
        <w:rPr>
          <w:rFonts w:hint="eastAsia" w:eastAsia="方正仿宋_GBK"/>
          <w:color w:val="000000"/>
          <w:sz w:val="28"/>
          <w:lang w:val="en-US" w:eastAsia="zh-CN"/>
        </w:rPr>
        <w:t>15</w:t>
      </w:r>
      <w:r>
        <w:rPr>
          <w:rFonts w:eastAsia="方正仿宋_GBK"/>
          <w:color w:val="000000"/>
          <w:sz w:val="28"/>
        </w:rPr>
        <w:t>.00万元，已按要求列入政府采购预算，详见政府采购预算表。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101001承德市人民代表大会常务委员会办公室</w:t>
            </w:r>
          </w:p>
          <w:p>
            <w:pPr>
              <w:pStyle w:val="10"/>
            </w:pPr>
          </w:p>
        </w:tc>
        <w:tc>
          <w:tcPr>
            <w:tcW w:w="5670" w:type="dxa"/>
            <w:gridSpan w:val="2"/>
            <w:tcBorders>
              <w:top w:val="single" w:color="FFFFFF" w:sz="6" w:space="0"/>
              <w:left w:val="single" w:color="FFFFFF" w:sz="6" w:space="0"/>
              <w:right w:val="single" w:color="FFFFFF" w:sz="6" w:space="0"/>
            </w:tcBorders>
            <w:vAlign w:val="center"/>
          </w:tcPr>
          <w:p>
            <w:pPr>
              <w:pStyle w:val="8"/>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ascii="Times New Roman" w:hAnsi="Times New Roman" w:eastAsia="仿宋" w:cs="Times New Roman"/>
                <w:kern w:val="0"/>
                <w:sz w:val="24"/>
                <w:szCs w:val="24"/>
                <w:lang w:val="en-US" w:eastAsia="uk-UA" w:bidi="ar-SA"/>
              </w:rPr>
            </w:pPr>
            <w:r>
              <w:rPr>
                <w:rFonts w:ascii="Times New Roman" w:hAnsi="Times New Roman" w:eastAsia="仿宋" w:cs="Times New Roman"/>
                <w:kern w:val="0"/>
                <w:sz w:val="24"/>
                <w:szCs w:val="24"/>
              </w:rPr>
              <w:t>资产总额</w:t>
            </w:r>
          </w:p>
        </w:tc>
        <w:tc>
          <w:tcPr>
            <w:tcW w:w="2835" w:type="dxa"/>
            <w:vAlign w:val="top"/>
          </w:tcPr>
          <w:p>
            <w:pPr>
              <w:jc w:val="center"/>
              <w:rPr>
                <w:rFonts w:ascii="仿宋_GB2312" w:hAnsi="仿宋_GB2312" w:eastAsia="仿宋_GB2312" w:cs="仿宋_GB2312"/>
                <w:sz w:val="28"/>
                <w:szCs w:val="28"/>
                <w:lang w:val="en-US" w:eastAsia="uk-UA" w:bidi="ar-SA"/>
              </w:rPr>
            </w:pPr>
            <w:r>
              <w:rPr>
                <w:rFonts w:ascii="Times New Roman" w:hAnsi="Times New Roman" w:eastAsia="仿宋" w:cs="Times New Roman"/>
                <w:kern w:val="0"/>
                <w:sz w:val="28"/>
                <w:szCs w:val="28"/>
              </w:rPr>
              <w:t>——</w:t>
            </w:r>
          </w:p>
        </w:tc>
        <w:tc>
          <w:tcPr>
            <w:tcW w:w="2835" w:type="dxa"/>
            <w:vAlign w:val="top"/>
          </w:tcPr>
          <w:p>
            <w:pPr>
              <w:jc w:val="center"/>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rPr>
              <w:t>310.24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Times New Roman" w:hAnsi="Times New Roman" w:eastAsia="仿宋" w:cs="Times New Roman"/>
                <w:kern w:val="0"/>
                <w:sz w:val="24"/>
                <w:szCs w:val="24"/>
                <w:lang w:val="en-US" w:eastAsia="uk-UA" w:bidi="ar-SA"/>
              </w:rPr>
            </w:pPr>
            <w:r>
              <w:rPr>
                <w:rFonts w:ascii="Times New Roman" w:hAnsi="Times New Roman" w:eastAsia="仿宋" w:cs="Times New Roman"/>
                <w:kern w:val="0"/>
                <w:sz w:val="24"/>
                <w:szCs w:val="24"/>
              </w:rPr>
              <w:t>1、房屋（平方米）</w:t>
            </w:r>
          </w:p>
        </w:tc>
        <w:tc>
          <w:tcPr>
            <w:tcW w:w="2835" w:type="dxa"/>
            <w:vAlign w:val="top"/>
          </w:tcPr>
          <w:p>
            <w:pPr>
              <w:jc w:val="center"/>
              <w:rPr>
                <w:rFonts w:ascii="仿宋_GB2312" w:hAnsi="仿宋_GB2312" w:eastAsia="仿宋_GB2312" w:cs="仿宋_GB2312"/>
                <w:sz w:val="28"/>
                <w:szCs w:val="28"/>
                <w:lang w:val="en-US" w:eastAsia="uk-UA" w:bidi="ar-SA"/>
              </w:rPr>
            </w:pPr>
            <w:r>
              <w:rPr>
                <w:rFonts w:hint="eastAsia" w:ascii="仿宋_GB2312" w:hAnsi="仿宋_GB2312" w:eastAsia="仿宋_GB2312" w:cs="仿宋_GB2312"/>
                <w:sz w:val="28"/>
                <w:szCs w:val="28"/>
              </w:rPr>
              <w:t>0</w:t>
            </w:r>
          </w:p>
        </w:tc>
        <w:tc>
          <w:tcPr>
            <w:tcW w:w="2835" w:type="dxa"/>
            <w:vAlign w:val="center"/>
          </w:tcPr>
          <w:p>
            <w:pPr>
              <w:pStyle w:val="12"/>
              <w:jc w:val="center"/>
              <w:rPr>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Times New Roman" w:hAnsi="Times New Roman" w:eastAsia="仿宋" w:cs="Times New Roman"/>
                <w:kern w:val="0"/>
                <w:sz w:val="24"/>
                <w:szCs w:val="24"/>
                <w:lang w:val="en-US" w:eastAsia="uk-UA" w:bidi="ar-SA"/>
              </w:rPr>
            </w:pPr>
            <w:r>
              <w:rPr>
                <w:rFonts w:ascii="Times New Roman" w:hAnsi="Times New Roman" w:eastAsia="仿宋" w:cs="Times New Roman"/>
                <w:kern w:val="0"/>
                <w:sz w:val="24"/>
                <w:szCs w:val="24"/>
              </w:rPr>
              <w:t>其中：办公用房（平方米）</w:t>
            </w:r>
          </w:p>
        </w:tc>
        <w:tc>
          <w:tcPr>
            <w:tcW w:w="2835" w:type="dxa"/>
            <w:vAlign w:val="top"/>
          </w:tcPr>
          <w:p>
            <w:pPr>
              <w:jc w:val="center"/>
              <w:rPr>
                <w:rFonts w:ascii="仿宋_GB2312" w:hAnsi="仿宋_GB2312" w:eastAsia="仿宋_GB2312" w:cs="仿宋_GB2312"/>
                <w:sz w:val="28"/>
                <w:szCs w:val="28"/>
                <w:lang w:val="en-US" w:eastAsia="uk-UA" w:bidi="ar-SA"/>
              </w:rPr>
            </w:pPr>
            <w:r>
              <w:rPr>
                <w:rFonts w:hint="eastAsia" w:ascii="仿宋_GB2312" w:hAnsi="仿宋_GB2312" w:eastAsia="仿宋_GB2312" w:cs="仿宋_GB2312"/>
                <w:sz w:val="28"/>
                <w:szCs w:val="28"/>
              </w:rPr>
              <w:t>0</w:t>
            </w:r>
          </w:p>
        </w:tc>
        <w:tc>
          <w:tcPr>
            <w:tcW w:w="2835" w:type="dxa"/>
            <w:vAlign w:val="center"/>
          </w:tcPr>
          <w:p>
            <w:pPr>
              <w:pStyle w:val="12"/>
              <w:jc w:val="center"/>
              <w:rPr>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Times New Roman" w:hAnsi="Times New Roman" w:eastAsia="仿宋" w:cs="Times New Roman"/>
                <w:kern w:val="0"/>
                <w:sz w:val="24"/>
                <w:szCs w:val="24"/>
                <w:lang w:val="en-US" w:eastAsia="uk-UA" w:bidi="ar-SA"/>
              </w:rPr>
            </w:pPr>
            <w:r>
              <w:rPr>
                <w:rFonts w:ascii="Times New Roman" w:hAnsi="Times New Roman" w:eastAsia="仿宋" w:cs="Times New Roman"/>
                <w:kern w:val="0"/>
                <w:sz w:val="24"/>
                <w:szCs w:val="24"/>
              </w:rPr>
              <w:t>2、车辆（台、辆）</w:t>
            </w:r>
          </w:p>
        </w:tc>
        <w:tc>
          <w:tcPr>
            <w:tcW w:w="2835" w:type="dxa"/>
            <w:vAlign w:val="top"/>
          </w:tcPr>
          <w:p>
            <w:pPr>
              <w:jc w:val="center"/>
              <w:rPr>
                <w:rFonts w:ascii="仿宋_GB2312" w:hAnsi="仿宋_GB2312" w:eastAsia="仿宋_GB2312" w:cs="仿宋_GB2312"/>
                <w:sz w:val="28"/>
                <w:szCs w:val="28"/>
                <w:lang w:val="en-US" w:eastAsia="uk-UA" w:bidi="ar-SA"/>
              </w:rPr>
            </w:pPr>
            <w:r>
              <w:rPr>
                <w:rFonts w:hint="eastAsia" w:ascii="仿宋_GB2312" w:hAnsi="仿宋_GB2312" w:eastAsia="仿宋_GB2312" w:cs="仿宋_GB2312"/>
                <w:sz w:val="28"/>
                <w:szCs w:val="28"/>
              </w:rPr>
              <w:t>10</w:t>
            </w:r>
          </w:p>
        </w:tc>
        <w:tc>
          <w:tcPr>
            <w:tcW w:w="2835" w:type="dxa"/>
            <w:vAlign w:val="center"/>
          </w:tcPr>
          <w:p>
            <w:pPr>
              <w:pStyle w:val="12"/>
              <w:jc w:val="center"/>
              <w:rPr>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Times New Roman" w:hAnsi="Times New Roman" w:eastAsia="仿宋" w:cs="Times New Roman"/>
                <w:kern w:val="0"/>
                <w:sz w:val="24"/>
                <w:szCs w:val="24"/>
                <w:lang w:val="en-US" w:eastAsia="uk-UA" w:bidi="ar-SA"/>
              </w:rPr>
            </w:pPr>
            <w:r>
              <w:rPr>
                <w:rFonts w:ascii="Times New Roman" w:hAnsi="Times New Roman" w:eastAsia="仿宋" w:cs="Times New Roman"/>
                <w:kern w:val="0"/>
                <w:sz w:val="24"/>
                <w:szCs w:val="24"/>
              </w:rPr>
              <w:t>3、单价在20万元以上设备</w:t>
            </w:r>
          </w:p>
        </w:tc>
        <w:tc>
          <w:tcPr>
            <w:tcW w:w="2835" w:type="dxa"/>
            <w:vAlign w:val="top"/>
          </w:tcPr>
          <w:p>
            <w:pPr>
              <w:jc w:val="center"/>
              <w:rPr>
                <w:rFonts w:ascii="仿宋_GB2312" w:hAnsi="仿宋_GB2312" w:eastAsia="仿宋_GB2312" w:cs="仿宋_GB2312"/>
                <w:sz w:val="28"/>
                <w:szCs w:val="28"/>
                <w:lang w:val="en-US" w:eastAsia="uk-UA" w:bidi="ar-SA"/>
              </w:rPr>
            </w:pPr>
            <w:r>
              <w:rPr>
                <w:rFonts w:hint="eastAsia" w:ascii="仿宋_GB2312" w:hAnsi="仿宋_GB2312" w:eastAsia="仿宋_GB2312" w:cs="仿宋_GB2312"/>
                <w:sz w:val="28"/>
                <w:szCs w:val="28"/>
              </w:rPr>
              <w:t>0</w:t>
            </w:r>
          </w:p>
        </w:tc>
        <w:tc>
          <w:tcPr>
            <w:tcW w:w="2835" w:type="dxa"/>
            <w:vAlign w:val="center"/>
          </w:tcPr>
          <w:p>
            <w:pPr>
              <w:pStyle w:val="12"/>
              <w:jc w:val="center"/>
              <w:rPr>
                <w:rFonts w:hint="default" w:eastAsia="方正书宋_GBK"/>
                <w:sz w:val="32"/>
                <w:szCs w:val="32"/>
                <w:lang w:val="en-US" w:eastAsia="zh-CN"/>
              </w:rPr>
            </w:pPr>
            <w:r>
              <w:rPr>
                <w:rFonts w:hint="eastAsia"/>
                <w:sz w:val="32"/>
                <w:szCs w:val="32"/>
                <w:lang w:val="en-US" w:eastAsia="zh-CN"/>
              </w:rPr>
              <w:t>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Times New Roman" w:hAnsi="Times New Roman" w:eastAsia="仿宋" w:cs="Times New Roman"/>
                <w:kern w:val="0"/>
                <w:sz w:val="24"/>
                <w:szCs w:val="24"/>
                <w:lang w:val="en-US" w:eastAsia="uk-UA" w:bidi="ar-SA"/>
              </w:rPr>
            </w:pPr>
            <w:r>
              <w:rPr>
                <w:rFonts w:ascii="Times New Roman" w:hAnsi="Times New Roman" w:eastAsia="仿宋" w:cs="Times New Roman"/>
                <w:kern w:val="0"/>
                <w:sz w:val="24"/>
                <w:szCs w:val="24"/>
              </w:rPr>
              <w:t>4、其他固定资产</w:t>
            </w:r>
          </w:p>
        </w:tc>
        <w:tc>
          <w:tcPr>
            <w:tcW w:w="0" w:type="auto"/>
          </w:tcPr>
          <w:p>
            <w:pPr>
              <w:pStyle w:val="14"/>
              <w:rPr>
                <w:rFonts w:hint="eastAsia" w:eastAsia="方正书宋_GBK"/>
                <w:lang w:val="en-US" w:eastAsia="zh-CN"/>
              </w:rPr>
            </w:pPr>
            <w:r>
              <w:rPr>
                <w:rFonts w:hint="eastAsia" w:ascii="仿宋_GB2312" w:hAnsi="仿宋_GB2312" w:eastAsia="仿宋_GB2312" w:cs="仿宋_GB2312"/>
                <w:sz w:val="28"/>
                <w:szCs w:val="28"/>
              </w:rPr>
              <w:t>0</w:t>
            </w:r>
          </w:p>
        </w:tc>
        <w:tc>
          <w:tcPr>
            <w:tcW w:w="0" w:type="auto"/>
          </w:tcPr>
          <w:p>
            <w:pPr>
              <w:pStyle w:val="12"/>
              <w:jc w:val="center"/>
              <w:rPr>
                <w:rFonts w:hint="default" w:eastAsia="方正书宋_GBK"/>
                <w:sz w:val="32"/>
                <w:szCs w:val="32"/>
                <w:lang w:val="en-US" w:eastAsia="zh-CN"/>
              </w:rPr>
            </w:pPr>
            <w:r>
              <w:rPr>
                <w:rFonts w:hint="eastAsia"/>
                <w:sz w:val="32"/>
                <w:szCs w:val="32"/>
                <w:lang w:val="en-US" w:eastAsia="zh-CN"/>
              </w:rPr>
              <w:t>289.74</w:t>
            </w:r>
          </w:p>
        </w:tc>
      </w:tr>
    </w:tbl>
    <w:p>
      <w:pPr>
        <w:ind w:firstLine="640"/>
      </w:pPr>
    </w:p>
    <w:p>
      <w:pPr>
        <w:pStyle w:val="25"/>
        <w:sectPr>
          <w:pgSz w:w="16840" w:h="11900" w:orient="landscape"/>
          <w:pgMar w:top="1361" w:right="1020" w:bottom="1361" w:left="1020" w:header="720" w:footer="720" w:gutter="0"/>
          <w:cols w:space="720" w:num="1"/>
        </w:sectPr>
      </w:pPr>
    </w:p>
    <w:p>
      <w:pPr>
        <w:ind w:firstLine="640"/>
      </w:pPr>
    </w:p>
    <w:p>
      <w:pPr>
        <w:spacing w:before="10" w:after="10"/>
        <w:ind w:firstLine="640"/>
        <w:outlineLvl w:val="2"/>
      </w:pPr>
      <w:bookmarkStart w:id="17" w:name="_Toc_3_3_0000000017"/>
      <w:r>
        <w:rPr>
          <w:rFonts w:ascii="黑体" w:hAnsi="黑体" w:eastAsia="黑体" w:cs="黑体"/>
          <w:color w:val="000000"/>
          <w:sz w:val="32"/>
        </w:rPr>
        <w:t>八、名词解释</w:t>
      </w:r>
      <w:bookmarkEnd w:id="17"/>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市级</w:t>
      </w:r>
      <w:r>
        <w:rPr>
          <w:rFonts w:eastAsia="方正仿宋_GBK"/>
          <w:color w:val="000000"/>
          <w:sz w:val="28"/>
        </w:rPr>
        <w:t>财政预算管理的“三公”经费，是指</w:t>
      </w:r>
      <w:r>
        <w:rPr>
          <w:rFonts w:hint="eastAsia" w:eastAsia="方正仿宋_GBK"/>
          <w:color w:val="000000"/>
          <w:sz w:val="28"/>
          <w:lang w:eastAsia="zh-CN"/>
        </w:rPr>
        <w:t>市</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w:t>
      </w:r>
      <w:bookmarkStart w:id="19" w:name="_GoBack"/>
      <w:bookmarkEnd w:id="19"/>
      <w:r>
        <w:rPr>
          <w:rFonts w:eastAsia="方正仿宋_GBK"/>
          <w:color w:val="000000"/>
          <w:sz w:val="28"/>
        </w:rPr>
        <w:t>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rPr>
          <w:rFonts w:ascii="黑体" w:hAnsi="黑体" w:eastAsia="黑体" w:cs="黑体"/>
          <w:color w:val="000000"/>
          <w:sz w:val="32"/>
        </w:rPr>
      </w:pPr>
      <w:bookmarkStart w:id="18" w:name="_Toc_3_3_0000000018"/>
    </w:p>
    <w:p>
      <w:pPr>
        <w:spacing w:before="10" w:after="10"/>
        <w:ind w:firstLine="640"/>
        <w:outlineLvl w:val="2"/>
      </w:pPr>
      <w:r>
        <w:rPr>
          <w:rFonts w:ascii="黑体" w:hAnsi="黑体" w:eastAsia="黑体" w:cs="黑体"/>
          <w:color w:val="000000"/>
          <w:sz w:val="32"/>
        </w:rPr>
        <w:t>九、其他需要说明的事项</w:t>
      </w:r>
      <w:bookmarkEnd w:id="18"/>
    </w:p>
    <w:p>
      <w:pPr>
        <w:autoSpaceDE w:val="0"/>
        <w:autoSpaceDN w:val="0"/>
        <w:adjustRightInd w:val="0"/>
        <w:ind w:firstLine="640" w:firstLineChars="200"/>
        <w:jc w:val="left"/>
        <w:rPr>
          <w:rFonts w:ascii="仿宋_GB2312" w:eastAsia="仿宋_GB2312"/>
          <w:bCs/>
          <w:sz w:val="32"/>
          <w:szCs w:val="32"/>
        </w:rPr>
      </w:pPr>
      <w:r>
        <w:rPr>
          <w:rFonts w:hint="eastAsia" w:ascii="仿宋_GB2312" w:eastAsia="仿宋_GB2312"/>
          <w:bCs/>
          <w:sz w:val="32"/>
          <w:szCs w:val="32"/>
        </w:rPr>
        <w:t>预算批准日</w:t>
      </w:r>
      <w:r>
        <w:rPr>
          <w:rFonts w:hint="eastAsia" w:ascii="仿宋_GB2312" w:eastAsia="仿宋_GB2312"/>
          <w:bCs/>
          <w:sz w:val="32"/>
          <w:szCs w:val="32"/>
          <w:lang w:eastAsia="zh-CN"/>
        </w:rPr>
        <w:t>期</w:t>
      </w:r>
      <w:r>
        <w:rPr>
          <w:rFonts w:hint="eastAsia" w:ascii="仿宋_GB2312" w:eastAsia="仿宋_GB2312"/>
          <w:bCs/>
          <w:sz w:val="32"/>
          <w:szCs w:val="32"/>
        </w:rPr>
        <w:t>为202</w:t>
      </w:r>
      <w:r>
        <w:rPr>
          <w:rFonts w:hint="eastAsia" w:ascii="仿宋_GB2312" w:eastAsia="仿宋_GB2312"/>
          <w:bCs/>
          <w:sz w:val="32"/>
          <w:szCs w:val="32"/>
          <w:lang w:val="en-US" w:eastAsia="zh-CN"/>
        </w:rPr>
        <w:t>2</w:t>
      </w:r>
      <w:r>
        <w:rPr>
          <w:rFonts w:hint="eastAsia" w:ascii="仿宋_GB2312" w:eastAsia="仿宋_GB2312"/>
          <w:bCs/>
          <w:sz w:val="32"/>
          <w:szCs w:val="32"/>
        </w:rPr>
        <w:t>年2月1</w:t>
      </w:r>
      <w:r>
        <w:rPr>
          <w:rFonts w:hint="eastAsia" w:ascii="仿宋_GB2312" w:eastAsia="仿宋_GB2312"/>
          <w:bCs/>
          <w:sz w:val="32"/>
          <w:szCs w:val="32"/>
          <w:lang w:val="en-US" w:eastAsia="zh-CN"/>
        </w:rPr>
        <w:t>3</w:t>
      </w:r>
      <w:r>
        <w:rPr>
          <w:rFonts w:hint="eastAsia" w:ascii="仿宋_GB2312" w:eastAsia="仿宋_GB2312"/>
          <w:bCs/>
          <w:sz w:val="32"/>
          <w:szCs w:val="32"/>
        </w:rPr>
        <w:t>日，批复文件文号承财预【202</w:t>
      </w:r>
      <w:r>
        <w:rPr>
          <w:rFonts w:hint="eastAsia" w:ascii="仿宋_GB2312" w:eastAsia="仿宋_GB2312"/>
          <w:bCs/>
          <w:sz w:val="32"/>
          <w:szCs w:val="32"/>
          <w:lang w:val="en-US" w:eastAsia="zh-CN"/>
        </w:rPr>
        <w:t>2</w:t>
      </w:r>
      <w:r>
        <w:rPr>
          <w:rFonts w:hint="eastAsia" w:ascii="仿宋_GB2312" w:eastAsia="仿宋_GB2312"/>
          <w:bCs/>
          <w:sz w:val="32"/>
          <w:szCs w:val="32"/>
        </w:rPr>
        <w:t>】10号。</w:t>
      </w:r>
    </w:p>
    <w:p>
      <w:pPr>
        <w:spacing w:line="500" w:lineRule="exact"/>
        <w:ind w:firstLine="640" w:firstLineChars="200"/>
        <w:rPr>
          <w:rFonts w:hint="eastAsia" w:ascii="仿宋_GB2312" w:hAnsi="仿宋_GB2312" w:eastAsia="仿宋_GB2312" w:cs="仿宋_GB2312"/>
          <w:sz w:val="32"/>
          <w:szCs w:val="32"/>
        </w:rPr>
        <w:sectPr>
          <w:pgSz w:w="16840" w:h="11900" w:orient="landscape"/>
          <w:pgMar w:top="1361" w:right="1020" w:bottom="1134" w:left="1020" w:header="720" w:footer="720" w:gutter="0"/>
          <w:cols w:space="720" w:num="1"/>
        </w:sectPr>
      </w:pPr>
      <w:r>
        <w:rPr>
          <w:rFonts w:hint="eastAsia" w:ascii="仿宋_GB2312" w:hAnsi="仿宋_GB2312" w:eastAsia="仿宋_GB2312" w:cs="仿宋_GB2312"/>
          <w:color w:val="000000"/>
          <w:sz w:val="32"/>
          <w:szCs w:val="32"/>
        </w:rPr>
        <w:t>我部门无其他需要说明的事项。</w:t>
      </w:r>
    </w:p>
    <w:p>
      <w:pPr>
        <w:jc w:val="center"/>
      </w:pPr>
    </w:p>
    <w:p>
      <w:pPr>
        <w:jc w:val="center"/>
      </w:pP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59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B1254F"/>
    <w:multiLevelType w:val="singleLevel"/>
    <w:tmpl w:val="CFB1254F"/>
    <w:lvl w:ilvl="0" w:tentative="0">
      <w:start w:val="3"/>
      <w:numFmt w:val="chineseCounting"/>
      <w:suff w:val="nothing"/>
      <w:lvlText w:val="%1、"/>
      <w:lvlJc w:val="left"/>
      <w:rPr>
        <w:rFonts w:hint="eastAsia"/>
      </w:rPr>
    </w:lvl>
  </w:abstractNum>
  <w:abstractNum w:abstractNumId="1">
    <w:nsid w:val="0847A7B6"/>
    <w:multiLevelType w:val="singleLevel"/>
    <w:tmpl w:val="0847A7B6"/>
    <w:lvl w:ilvl="0" w:tentative="0">
      <w:start w:val="2"/>
      <w:numFmt w:val="chineseCounting"/>
      <w:suff w:val="space"/>
      <w:lvlText w:val="第%1部分"/>
      <w:lvlJc w:val="left"/>
      <w:rPr>
        <w:rFonts w:hint="eastAsia"/>
      </w:rPr>
    </w:lvl>
  </w:abstractNum>
  <w:abstractNum w:abstractNumId="2">
    <w:nsid w:val="2E7C2F8F"/>
    <w:multiLevelType w:val="singleLevel"/>
    <w:tmpl w:val="2E7C2F8F"/>
    <w:lvl w:ilvl="0" w:tentative="0">
      <w:start w:val="1"/>
      <w:numFmt w:val="decimal"/>
      <w:suff w:val="nothing"/>
      <w:lvlText w:val="%1、"/>
      <w:lvlJc w:val="left"/>
    </w:lvl>
  </w:abstractNum>
  <w:abstractNum w:abstractNumId="3">
    <w:nsid w:val="58818F2D"/>
    <w:multiLevelType w:val="singleLevel"/>
    <w:tmpl w:val="58818F2D"/>
    <w:lvl w:ilvl="0" w:tentative="0">
      <w:start w:val="2"/>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E5"/>
    <w:rsid w:val="004169E5"/>
    <w:rsid w:val="008E17E9"/>
    <w:rsid w:val="00FC5AC0"/>
    <w:rsid w:val="01170C55"/>
    <w:rsid w:val="013C690E"/>
    <w:rsid w:val="01830099"/>
    <w:rsid w:val="01A4698D"/>
    <w:rsid w:val="01E82E70"/>
    <w:rsid w:val="02820350"/>
    <w:rsid w:val="02BC60A1"/>
    <w:rsid w:val="02C062D1"/>
    <w:rsid w:val="033A0C2B"/>
    <w:rsid w:val="033C49A3"/>
    <w:rsid w:val="03525F75"/>
    <w:rsid w:val="053E4A03"/>
    <w:rsid w:val="06414BC8"/>
    <w:rsid w:val="06450013"/>
    <w:rsid w:val="06624721"/>
    <w:rsid w:val="07752B3A"/>
    <w:rsid w:val="07A01766"/>
    <w:rsid w:val="07C75183"/>
    <w:rsid w:val="08E65ADD"/>
    <w:rsid w:val="09CF031F"/>
    <w:rsid w:val="09E35B78"/>
    <w:rsid w:val="0A542D63"/>
    <w:rsid w:val="0ACB4F8A"/>
    <w:rsid w:val="0AEE2A27"/>
    <w:rsid w:val="0B47407F"/>
    <w:rsid w:val="0C0D512F"/>
    <w:rsid w:val="0CCD48BE"/>
    <w:rsid w:val="0D894C89"/>
    <w:rsid w:val="0F7200CA"/>
    <w:rsid w:val="1109680C"/>
    <w:rsid w:val="113425B4"/>
    <w:rsid w:val="11D84431"/>
    <w:rsid w:val="12DD4AE3"/>
    <w:rsid w:val="146B333A"/>
    <w:rsid w:val="14B7032D"/>
    <w:rsid w:val="14BA1BCC"/>
    <w:rsid w:val="152F6116"/>
    <w:rsid w:val="165E3157"/>
    <w:rsid w:val="170B2BB3"/>
    <w:rsid w:val="171A4BA4"/>
    <w:rsid w:val="175E4CD4"/>
    <w:rsid w:val="176127D3"/>
    <w:rsid w:val="17817A76"/>
    <w:rsid w:val="178A1D29"/>
    <w:rsid w:val="17B91E09"/>
    <w:rsid w:val="19067AD5"/>
    <w:rsid w:val="191C59B6"/>
    <w:rsid w:val="1A053239"/>
    <w:rsid w:val="1A871803"/>
    <w:rsid w:val="1AF57E02"/>
    <w:rsid w:val="1B2D759B"/>
    <w:rsid w:val="1B334486"/>
    <w:rsid w:val="1B351FAC"/>
    <w:rsid w:val="1CAF1BEB"/>
    <w:rsid w:val="1CE123EB"/>
    <w:rsid w:val="1DF262B4"/>
    <w:rsid w:val="1F132604"/>
    <w:rsid w:val="1FC658C9"/>
    <w:rsid w:val="1FD70A55"/>
    <w:rsid w:val="200563F1"/>
    <w:rsid w:val="201349DB"/>
    <w:rsid w:val="202A39A5"/>
    <w:rsid w:val="208F215E"/>
    <w:rsid w:val="20BC0E1C"/>
    <w:rsid w:val="20ED750E"/>
    <w:rsid w:val="21771570"/>
    <w:rsid w:val="219C2D85"/>
    <w:rsid w:val="223034CD"/>
    <w:rsid w:val="223905D4"/>
    <w:rsid w:val="22682C67"/>
    <w:rsid w:val="22DD5403"/>
    <w:rsid w:val="236E69A3"/>
    <w:rsid w:val="23711BF8"/>
    <w:rsid w:val="24FB4266"/>
    <w:rsid w:val="254A2AF8"/>
    <w:rsid w:val="2626151B"/>
    <w:rsid w:val="26530DCE"/>
    <w:rsid w:val="26795443"/>
    <w:rsid w:val="271B0BF0"/>
    <w:rsid w:val="27541A0C"/>
    <w:rsid w:val="27DD40F7"/>
    <w:rsid w:val="28B9421C"/>
    <w:rsid w:val="294A1318"/>
    <w:rsid w:val="2B4D6E9E"/>
    <w:rsid w:val="2CDF6992"/>
    <w:rsid w:val="2DD74215"/>
    <w:rsid w:val="2ED022C0"/>
    <w:rsid w:val="302F1268"/>
    <w:rsid w:val="306453B6"/>
    <w:rsid w:val="30974D49"/>
    <w:rsid w:val="31222DDE"/>
    <w:rsid w:val="31344D88"/>
    <w:rsid w:val="3148438F"/>
    <w:rsid w:val="31E83DC4"/>
    <w:rsid w:val="3236068C"/>
    <w:rsid w:val="33320A4A"/>
    <w:rsid w:val="333F346E"/>
    <w:rsid w:val="33B0446E"/>
    <w:rsid w:val="341F19F7"/>
    <w:rsid w:val="342A4477"/>
    <w:rsid w:val="343230D5"/>
    <w:rsid w:val="34D348F6"/>
    <w:rsid w:val="35DE52C2"/>
    <w:rsid w:val="3699743B"/>
    <w:rsid w:val="375F68D7"/>
    <w:rsid w:val="381E5E4A"/>
    <w:rsid w:val="39AB6979"/>
    <w:rsid w:val="3C8446EA"/>
    <w:rsid w:val="3D163594"/>
    <w:rsid w:val="3DD1395F"/>
    <w:rsid w:val="3DE6740A"/>
    <w:rsid w:val="3F055FB6"/>
    <w:rsid w:val="3F3441A5"/>
    <w:rsid w:val="3FBE7F13"/>
    <w:rsid w:val="3FC6689A"/>
    <w:rsid w:val="4180443E"/>
    <w:rsid w:val="420939D8"/>
    <w:rsid w:val="440C749E"/>
    <w:rsid w:val="45F96148"/>
    <w:rsid w:val="4681528F"/>
    <w:rsid w:val="469814BD"/>
    <w:rsid w:val="47A53016"/>
    <w:rsid w:val="48934632"/>
    <w:rsid w:val="48A203D1"/>
    <w:rsid w:val="48E56510"/>
    <w:rsid w:val="49B55316"/>
    <w:rsid w:val="4A183041"/>
    <w:rsid w:val="4AB83EDC"/>
    <w:rsid w:val="4B5A6F67"/>
    <w:rsid w:val="4BE62CCB"/>
    <w:rsid w:val="4C6836E0"/>
    <w:rsid w:val="4D5A3970"/>
    <w:rsid w:val="4D6B3488"/>
    <w:rsid w:val="4E6323B1"/>
    <w:rsid w:val="502A4F49"/>
    <w:rsid w:val="507E7DCE"/>
    <w:rsid w:val="51363DAD"/>
    <w:rsid w:val="517900DB"/>
    <w:rsid w:val="51EE28D9"/>
    <w:rsid w:val="53B55B42"/>
    <w:rsid w:val="53D226D0"/>
    <w:rsid w:val="54104D89"/>
    <w:rsid w:val="541A1764"/>
    <w:rsid w:val="54754BEC"/>
    <w:rsid w:val="55A7171D"/>
    <w:rsid w:val="55DB6661"/>
    <w:rsid w:val="563D3E2F"/>
    <w:rsid w:val="56B97DEE"/>
    <w:rsid w:val="56ED315F"/>
    <w:rsid w:val="572648C3"/>
    <w:rsid w:val="57AD28EF"/>
    <w:rsid w:val="57B16F94"/>
    <w:rsid w:val="57CC3A53"/>
    <w:rsid w:val="58823D7B"/>
    <w:rsid w:val="59D56B8C"/>
    <w:rsid w:val="5A184117"/>
    <w:rsid w:val="5A53777D"/>
    <w:rsid w:val="5A8738CB"/>
    <w:rsid w:val="5A8F7976"/>
    <w:rsid w:val="5BE4663F"/>
    <w:rsid w:val="5C2D3FFE"/>
    <w:rsid w:val="5CE545E0"/>
    <w:rsid w:val="5D301FF8"/>
    <w:rsid w:val="5E070E1F"/>
    <w:rsid w:val="5E510478"/>
    <w:rsid w:val="5F2E14A3"/>
    <w:rsid w:val="60157FFC"/>
    <w:rsid w:val="60CD1C7A"/>
    <w:rsid w:val="60DA0BF8"/>
    <w:rsid w:val="6101303E"/>
    <w:rsid w:val="6216348D"/>
    <w:rsid w:val="6240013D"/>
    <w:rsid w:val="631303F2"/>
    <w:rsid w:val="65A6554D"/>
    <w:rsid w:val="65F00576"/>
    <w:rsid w:val="6612673F"/>
    <w:rsid w:val="667747F4"/>
    <w:rsid w:val="67256946"/>
    <w:rsid w:val="674B24A8"/>
    <w:rsid w:val="675F2A36"/>
    <w:rsid w:val="67FD6F7B"/>
    <w:rsid w:val="68A613C0"/>
    <w:rsid w:val="697E774A"/>
    <w:rsid w:val="69D512B9"/>
    <w:rsid w:val="6BA63947"/>
    <w:rsid w:val="6BBB5183"/>
    <w:rsid w:val="6BDF70C3"/>
    <w:rsid w:val="6C141DD0"/>
    <w:rsid w:val="6CB26586"/>
    <w:rsid w:val="6CF43042"/>
    <w:rsid w:val="6D7B2E1B"/>
    <w:rsid w:val="6D8D0DA1"/>
    <w:rsid w:val="6DB8406F"/>
    <w:rsid w:val="70875F7B"/>
    <w:rsid w:val="70A95EF1"/>
    <w:rsid w:val="71C1726B"/>
    <w:rsid w:val="71F118FE"/>
    <w:rsid w:val="73AB3D2F"/>
    <w:rsid w:val="740276AD"/>
    <w:rsid w:val="757A7E5C"/>
    <w:rsid w:val="76DF581B"/>
    <w:rsid w:val="77E0197B"/>
    <w:rsid w:val="783E63F5"/>
    <w:rsid w:val="79AE4579"/>
    <w:rsid w:val="79D20EDB"/>
    <w:rsid w:val="7A262361"/>
    <w:rsid w:val="7AB160CE"/>
    <w:rsid w:val="7B3E66D7"/>
    <w:rsid w:val="7B634661"/>
    <w:rsid w:val="7BC2430B"/>
    <w:rsid w:val="7C18217D"/>
    <w:rsid w:val="7E553215"/>
    <w:rsid w:val="7E5C436A"/>
    <w:rsid w:val="7EA75760"/>
    <w:rsid w:val="7F5D2DC8"/>
    <w:rsid w:val="7F791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 w:type="paragraph" w:styleId="3">
    <w:name w:val="footer"/>
    <w:basedOn w:val="1"/>
    <w:link w:val="39"/>
    <w:semiHidden/>
    <w:unhideWhenUsed/>
    <w:qFormat/>
    <w:uiPriority w:val="99"/>
    <w:pPr>
      <w:tabs>
        <w:tab w:val="center" w:pos="4153"/>
        <w:tab w:val="right" w:pos="8306"/>
      </w:tabs>
      <w:snapToGrid w:val="0"/>
    </w:pPr>
    <w:rPr>
      <w:sz w:val="18"/>
      <w:szCs w:val="18"/>
    </w:rPr>
  </w:style>
  <w:style w:type="paragraph" w:styleId="4">
    <w:name w:val="header"/>
    <w:basedOn w:val="1"/>
    <w:link w:val="3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6"/>
    <w:basedOn w:val="1"/>
    <w:qFormat/>
    <w:uiPriority w:val="0"/>
    <w:pPr>
      <w:jc w:val="center"/>
    </w:pPr>
    <w:rPr>
      <w:rFonts w:ascii="方正书宋_GBK" w:hAnsi="方正书宋_GBK" w:eastAsia="方正书宋_GBK" w:cs="方正书宋_GBK"/>
      <w:b/>
      <w:sz w:val="21"/>
    </w:rPr>
  </w:style>
  <w:style w:type="paragraph" w:customStyle="1" w:styleId="16">
    <w:name w:val="单元格样式7"/>
    <w:basedOn w:val="1"/>
    <w:qFormat/>
    <w:uiPriority w:val="0"/>
    <w:pPr>
      <w:jc w:val="right"/>
    </w:pPr>
    <w:rPr>
      <w:rFonts w:ascii="方正书宋_GBK" w:hAnsi="方正书宋_GBK" w:eastAsia="方正书宋_GBK" w:cs="方正书宋_GBK"/>
      <w:b/>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插入文本样式-插入部门职责文件"/>
    <w:basedOn w:val="1"/>
    <w:qFormat/>
    <w:uiPriority w:val="0"/>
    <w:pPr>
      <w:spacing w:line="500" w:lineRule="exact"/>
      <w:ind w:firstLine="560"/>
    </w:pPr>
    <w:rPr>
      <w:rFonts w:eastAsia="方正仿宋_GBK"/>
      <w:sz w:val="28"/>
    </w:rPr>
  </w:style>
  <w:style w:type="paragraph" w:customStyle="1" w:styleId="1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2">
    <w:name w:val="插入文本样式-插入总体目标文件"/>
    <w:basedOn w:val="1"/>
    <w:qFormat/>
    <w:uiPriority w:val="0"/>
    <w:pPr>
      <w:spacing w:line="500" w:lineRule="exact"/>
      <w:ind w:firstLine="560"/>
    </w:pPr>
    <w:rPr>
      <w:rFonts w:eastAsia="方正仿宋_GBK"/>
      <w:sz w:val="28"/>
    </w:rPr>
  </w:style>
  <w:style w:type="paragraph" w:customStyle="1" w:styleId="23">
    <w:name w:val="插入文本样式-插入职责分类绩效目标文件"/>
    <w:basedOn w:val="1"/>
    <w:qFormat/>
    <w:uiPriority w:val="0"/>
    <w:pPr>
      <w:spacing w:line="500" w:lineRule="exact"/>
      <w:ind w:firstLine="560"/>
    </w:pPr>
    <w:rPr>
      <w:rFonts w:eastAsia="方正仿宋_GBK"/>
      <w:sz w:val="28"/>
    </w:rPr>
  </w:style>
  <w:style w:type="paragraph" w:customStyle="1" w:styleId="2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5">
    <w:name w:val="Normal_5a42b9f2-45ca-49c2-8321-51ada87bb25a"/>
    <w:qFormat/>
    <w:uiPriority w:val="0"/>
    <w:rPr>
      <w:rFonts w:ascii="Times New Roman" w:hAnsi="Times New Roman" w:eastAsia="Times New Roman" w:cs="Times New Roman"/>
      <w:sz w:val="24"/>
      <w:szCs w:val="24"/>
      <w:lang w:val="en-US" w:eastAsia="uk-UA" w:bidi="ar-SA"/>
    </w:rPr>
  </w:style>
  <w:style w:type="paragraph" w:customStyle="1" w:styleId="26">
    <w:name w:val="单元格样式1_b21bc768-8a74-448e-8b03-878411b48b62"/>
    <w:basedOn w:val="1"/>
    <w:qFormat/>
    <w:uiPriority w:val="0"/>
    <w:pPr>
      <w:jc w:val="center"/>
    </w:pPr>
    <w:rPr>
      <w:rFonts w:ascii="方正书宋_GBK" w:hAnsi="方正书宋_GBK" w:eastAsia="方正书宋_GBK" w:cs="方正书宋_GBK"/>
      <w:b/>
      <w:sz w:val="21"/>
    </w:rPr>
  </w:style>
  <w:style w:type="paragraph" w:customStyle="1" w:styleId="27">
    <w:name w:val="单元格样式2_e4ffcab8-c945-49e5-a378-6f62d15fa567"/>
    <w:basedOn w:val="1"/>
    <w:qFormat/>
    <w:uiPriority w:val="0"/>
    <w:rPr>
      <w:rFonts w:ascii="方正书宋_GBK" w:hAnsi="方正书宋_GBK" w:eastAsia="方正书宋_GBK" w:cs="方正书宋_GBK"/>
      <w:sz w:val="21"/>
    </w:rPr>
  </w:style>
  <w:style w:type="paragraph" w:customStyle="1" w:styleId="28">
    <w:name w:val="单元格样式3_dbeee43d-61a4-41df-9f1d-3f01c5e0c811"/>
    <w:basedOn w:val="1"/>
    <w:qFormat/>
    <w:uiPriority w:val="0"/>
    <w:pPr>
      <w:jc w:val="center"/>
    </w:pPr>
    <w:rPr>
      <w:rFonts w:ascii="方正书宋_GBK" w:hAnsi="方正书宋_GBK" w:eastAsia="方正书宋_GBK" w:cs="方正书宋_GBK"/>
      <w:sz w:val="21"/>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4">
    <w:name w:val="TOC 2"/>
    <w:basedOn w:val="1"/>
    <w:qFormat/>
    <w:uiPriority w:val="0"/>
    <w:pPr>
      <w:ind w:left="240"/>
    </w:pPr>
  </w:style>
  <w:style w:type="paragraph" w:customStyle="1" w:styleId="35">
    <w:name w:val="TOC 3"/>
    <w:basedOn w:val="1"/>
    <w:qFormat/>
    <w:uiPriority w:val="0"/>
    <w:pPr>
      <w:ind w:left="480"/>
    </w:pPr>
  </w:style>
  <w:style w:type="paragraph" w:customStyle="1" w:styleId="36">
    <w:name w:val="TOC 4"/>
    <w:basedOn w:val="1"/>
    <w:qFormat/>
    <w:uiPriority w:val="0"/>
    <w:pPr>
      <w:ind w:left="720"/>
    </w:pPr>
  </w:style>
  <w:style w:type="paragraph" w:customStyle="1" w:styleId="37">
    <w:name w:val="TOC 1"/>
    <w:basedOn w:val="1"/>
    <w:qFormat/>
    <w:uiPriority w:val="0"/>
    <w:pPr>
      <w:spacing w:before="120"/>
      <w:ind w:firstLine="560"/>
    </w:pPr>
    <w:rPr>
      <w:rFonts w:eastAsia="方正仿宋_GBK"/>
      <w:color w:val="000000"/>
      <w:sz w:val="28"/>
    </w:rPr>
  </w:style>
  <w:style w:type="character" w:customStyle="1" w:styleId="38">
    <w:name w:val="页眉 Char"/>
    <w:basedOn w:val="7"/>
    <w:link w:val="4"/>
    <w:semiHidden/>
    <w:qFormat/>
    <w:uiPriority w:val="99"/>
    <w:rPr>
      <w:rFonts w:eastAsia="Times New Roman"/>
      <w:sz w:val="18"/>
      <w:szCs w:val="18"/>
      <w:lang w:eastAsia="uk-UA"/>
    </w:rPr>
  </w:style>
  <w:style w:type="character" w:customStyle="1" w:styleId="39">
    <w:name w:val="页脚 Char"/>
    <w:basedOn w:val="7"/>
    <w:link w:val="3"/>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2022-02-17T17:15:48Z</dcterms:created>
  <dcterms:modified xsi:type="dcterms:W3CDTF">2022-02-17T09:15:48Z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2022-02-17T17:15:45Z</dcterms:created>
  <dcterms:modified xsi:type="dcterms:W3CDTF">2022-02-17T09:15:45Z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2022-02-17T17:15:52Z</dcterms:created>
  <dcterms:modified xsi:type="dcterms:W3CDTF">2022-02-17T09:15:52Z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2022-02-17T17:15:42Z</dcterms:created>
  <dcterms:modified xsi:type="dcterms:W3CDTF">2022-02-17T09:15:42Z</dcterms:modified>
</cp:coreProperties>
</file>

<file path=customXml/itemProps1.xml><?xml version="1.0" encoding="utf-8"?>
<ds:datastoreItem xmlns:ds="http://schemas.openxmlformats.org/officeDocument/2006/customXml" ds:itemID="{918E325D-FC78-486A-93A8-AC61002A22CE}">
  <ds:schemaRefs/>
</ds:datastoreItem>
</file>

<file path=customXml/itemProps2.xml><?xml version="1.0" encoding="utf-8"?>
<ds:datastoreItem xmlns:ds="http://schemas.openxmlformats.org/officeDocument/2006/customXml" ds:itemID="{563919F1-F618-4ACB-A9C7-B419DBFE36A0}">
  <ds:schemaRefs/>
</ds:datastoreItem>
</file>

<file path=customXml/itemProps3.xml><?xml version="1.0" encoding="utf-8"?>
<ds:datastoreItem xmlns:ds="http://schemas.openxmlformats.org/officeDocument/2006/customXml" ds:itemID="{D6441514-1AC4-4C8F-A947-9085AA6C95BA}">
  <ds:schemaRefs/>
</ds:datastoreItem>
</file>

<file path=customXml/itemProps4.xml><?xml version="1.0" encoding="utf-8"?>
<ds:datastoreItem xmlns:ds="http://schemas.openxmlformats.org/officeDocument/2006/customXml" ds:itemID="{5B282D83-85F6-4FBE-A5AD-331349315985}">
  <ds:schemaRefs/>
</ds:datastoreItem>
</file>

<file path=customXml/itemProps5.xml><?xml version="1.0" encoding="utf-8"?>
<ds:datastoreItem xmlns:ds="http://schemas.openxmlformats.org/officeDocument/2006/customXml" ds:itemID="{161278A4-0C0B-4FA2-A793-67462333C746}">
  <ds:schemaRefs/>
</ds:datastoreItem>
</file>

<file path=customXml/itemProps6.xml><?xml version="1.0" encoding="utf-8"?>
<ds:datastoreItem xmlns:ds="http://schemas.openxmlformats.org/officeDocument/2006/customXml" ds:itemID="{80304700-9754-4CC3-835D-7D407133B208}">
  <ds:schemaRefs/>
</ds:datastoreItem>
</file>

<file path=customXml/itemProps7.xml><?xml version="1.0" encoding="utf-8"?>
<ds:datastoreItem xmlns:ds="http://schemas.openxmlformats.org/officeDocument/2006/customXml" ds:itemID="{95F1CA0B-2731-4FE1-A1B6-9F5598C15C7D}">
  <ds:schemaRefs/>
</ds:datastoreItem>
</file>

<file path=customXml/itemProps8.xml><?xml version="1.0" encoding="utf-8"?>
<ds:datastoreItem xmlns:ds="http://schemas.openxmlformats.org/officeDocument/2006/customXml" ds:itemID="{2B7ED60F-F283-451A-8D17-B7617419A93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61</Pages>
  <Words>4741</Words>
  <Characters>27026</Characters>
  <Lines>225</Lines>
  <Paragraphs>63</Paragraphs>
  <TotalTime>7</TotalTime>
  <ScaleCrop>false</ScaleCrop>
  <LinksUpToDate>false</LinksUpToDate>
  <CharactersWithSpaces>31704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2022-02-18T06:16:00Z</dcterms:created>
  <dc:creator>Administrator</dc:creator>
  <cp:lastModifiedBy>Administrator</cp:lastModifiedBy>
  <cp:lastPrinted>2022-02-18T06:21:00Z</cp:lastPrinted>
  <dcterms:modified xsi:type="dcterms:W3CDTF">2022-07-08T02:22:48Z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A68FB39955DF473A929DBCAB7762FC37</vt:lpwstr>
  </property>
</Properties>
</file>