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承德市人民代表大会常务委员会办公室</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9</w:t>
      </w:r>
      <w:r>
        <w:rPr>
          <w:rFonts w:ascii="Times New Roman" w:hAnsi="Times New Roman" w:eastAsia="方正小标宋_GBK" w:cs="Times New Roman"/>
          <w:sz w:val="44"/>
          <w:szCs w:val="44"/>
        </w:rPr>
        <w:t>年部门预算信息公开</w:t>
      </w:r>
    </w:p>
    <w:p>
      <w:pPr>
        <w:jc w:val="center"/>
        <w:rPr>
          <w:rFonts w:ascii="Times New Roman" w:hAnsi="Times New Roman" w:eastAsia="方正小标宋_GBK" w:cs="Times New Roman"/>
          <w:sz w:val="44"/>
          <w:szCs w:val="44"/>
        </w:rPr>
      </w:pPr>
    </w:p>
    <w:p>
      <w:pPr>
        <w:ind w:firstLine="640" w:firstLineChars="200"/>
        <w:rPr>
          <w:rFonts w:ascii="仿宋" w:hAnsi="仿宋" w:eastAsia="仿宋" w:cs="Times New Roman"/>
          <w:sz w:val="32"/>
          <w:szCs w:val="32"/>
        </w:rPr>
      </w:pPr>
      <w:r>
        <w:rPr>
          <w:rFonts w:ascii="仿宋" w:hAnsi="仿宋" w:eastAsia="仿宋" w:cs="Times New Roman"/>
          <w:sz w:val="32"/>
          <w:szCs w:val="32"/>
        </w:rPr>
        <w:t>按照</w:t>
      </w:r>
      <w:r>
        <w:rPr>
          <w:rFonts w:hint="eastAsia" w:ascii="仿宋" w:hAnsi="仿宋" w:eastAsia="仿宋" w:cs="Times New Roman"/>
          <w:sz w:val="32"/>
          <w:szCs w:val="32"/>
        </w:rPr>
        <w:t>《预算法》、</w:t>
      </w:r>
      <w:r>
        <w:rPr>
          <w:rFonts w:ascii="仿宋" w:hAnsi="仿宋" w:eastAsia="仿宋" w:cs="Times New Roman"/>
          <w:sz w:val="32"/>
          <w:szCs w:val="32"/>
        </w:rPr>
        <w:t>《地方预决算公开操作规程》和《河北省省级预算公开办法》</w:t>
      </w:r>
      <w:r>
        <w:rPr>
          <w:rFonts w:hint="eastAsia" w:ascii="仿宋" w:hAnsi="仿宋" w:eastAsia="仿宋" w:cs="Times New Roman"/>
          <w:sz w:val="32"/>
          <w:szCs w:val="32"/>
        </w:rPr>
        <w:t>规定</w:t>
      </w:r>
      <w:r>
        <w:rPr>
          <w:rFonts w:ascii="仿宋" w:hAnsi="仿宋" w:eastAsia="仿宋" w:cs="Times New Roman"/>
          <w:sz w:val="32"/>
          <w:szCs w:val="32"/>
        </w:rPr>
        <w:t>，现将201</w:t>
      </w:r>
      <w:r>
        <w:rPr>
          <w:rFonts w:hint="eastAsia" w:ascii="仿宋" w:hAnsi="仿宋" w:eastAsia="仿宋" w:cs="Times New Roman"/>
          <w:sz w:val="32"/>
          <w:szCs w:val="32"/>
        </w:rPr>
        <w:t>9</w:t>
      </w:r>
      <w:r>
        <w:rPr>
          <w:rFonts w:ascii="仿宋" w:hAnsi="仿宋" w:eastAsia="仿宋" w:cs="Times New Roman"/>
          <w:sz w:val="32"/>
          <w:szCs w:val="32"/>
        </w:rPr>
        <w:t>年部门预算公开如下：</w:t>
      </w:r>
    </w:p>
    <w:p>
      <w:pPr>
        <w:widowControl/>
        <w:numPr>
          <w:ilvl w:val="0"/>
          <w:numId w:val="1"/>
        </w:numPr>
        <w:shd w:val="clear" w:color="auto" w:fill="FFFFFF"/>
        <w:spacing w:line="357" w:lineRule="atLeast"/>
        <w:ind w:firstLine="640" w:firstLineChars="200"/>
        <w:rPr>
          <w:rFonts w:ascii="黑体" w:hAnsi="黑体" w:eastAsia="黑体" w:cs="Times New Roman"/>
          <w:sz w:val="32"/>
          <w:szCs w:val="32"/>
        </w:rPr>
      </w:pPr>
      <w:r>
        <w:rPr>
          <w:rFonts w:hint="eastAsia" w:ascii="黑体" w:hAnsi="黑体" w:eastAsia="黑体" w:cs="Times New Roman"/>
          <w:sz w:val="32"/>
          <w:szCs w:val="32"/>
        </w:rPr>
        <w:t>部门职责及机构设置情况</w:t>
      </w:r>
    </w:p>
    <w:p>
      <w:pPr>
        <w:widowControl/>
        <w:shd w:val="clear" w:color="auto" w:fill="FFFFFF"/>
        <w:spacing w:line="560"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承德市人民代表大会常务委员会行使下列职权：</w:t>
      </w:r>
    </w:p>
    <w:p>
      <w:pPr>
        <w:widowControl/>
        <w:shd w:val="clear" w:color="auto" w:fill="FFFFFF"/>
        <w:spacing w:line="560" w:lineRule="exact"/>
        <w:ind w:firstLine="640" w:firstLineChars="200"/>
        <w:rPr>
          <w:rFonts w:ascii="仿宋" w:hAnsi="仿宋" w:eastAsia="仿宋"/>
          <w:color w:val="000000"/>
          <w:kern w:val="0"/>
          <w:sz w:val="32"/>
          <w:szCs w:val="32"/>
        </w:rPr>
      </w:pPr>
      <w:r>
        <w:rPr>
          <w:rFonts w:ascii="仿宋" w:hAnsi="仿宋" w:eastAsia="仿宋" w:cs="宋体"/>
          <w:color w:val="000000"/>
          <w:kern w:val="0"/>
          <w:sz w:val="32"/>
          <w:szCs w:val="32"/>
        </w:rPr>
        <w:t>在本市行政区域内，保证宪法、法律、行政法规和上级人民代表大会及其常务委员会决议的遵守和执行；</w:t>
      </w:r>
    </w:p>
    <w:p>
      <w:pPr>
        <w:widowControl/>
        <w:shd w:val="clear" w:color="auto" w:fill="FFFFFF"/>
        <w:spacing w:line="560" w:lineRule="exact"/>
        <w:ind w:firstLine="640" w:firstLineChars="200"/>
        <w:rPr>
          <w:rFonts w:ascii="仿宋" w:hAnsi="仿宋" w:eastAsia="仿宋"/>
          <w:color w:val="000000"/>
          <w:kern w:val="0"/>
          <w:sz w:val="32"/>
          <w:szCs w:val="32"/>
        </w:rPr>
      </w:pPr>
      <w:r>
        <w:rPr>
          <w:rFonts w:ascii="仿宋" w:hAnsi="仿宋" w:eastAsia="仿宋" w:cs="宋体"/>
          <w:color w:val="000000"/>
          <w:kern w:val="0"/>
          <w:sz w:val="32"/>
          <w:szCs w:val="32"/>
        </w:rPr>
        <w:t>讨论、决定本市的政治、经济、教育、科学、文化、卫生、环境和资源保护、民政、民族等工作的重大事项，</w:t>
      </w:r>
      <w:r>
        <w:rPr>
          <w:rFonts w:hint="eastAsia" w:ascii="仿宋" w:hAnsi="仿宋" w:eastAsia="仿宋" w:cs="宋体"/>
          <w:color w:val="000000"/>
          <w:kern w:val="0"/>
          <w:sz w:val="32"/>
          <w:szCs w:val="32"/>
        </w:rPr>
        <w:t>审查和批准</w:t>
      </w:r>
      <w:r>
        <w:rPr>
          <w:rFonts w:ascii="仿宋" w:hAnsi="仿宋" w:eastAsia="仿宋" w:cs="宋体"/>
          <w:color w:val="000000"/>
          <w:kern w:val="0"/>
          <w:sz w:val="32"/>
          <w:szCs w:val="32"/>
        </w:rPr>
        <w:t>对本市的国民经济和社会发展计划、预算的</w:t>
      </w:r>
      <w:r>
        <w:rPr>
          <w:rFonts w:hint="eastAsia" w:ascii="仿宋" w:hAnsi="仿宋" w:eastAsia="仿宋" w:cs="宋体"/>
          <w:color w:val="000000"/>
          <w:kern w:val="0"/>
          <w:sz w:val="32"/>
          <w:szCs w:val="32"/>
        </w:rPr>
        <w:t>调整</w:t>
      </w:r>
      <w:r>
        <w:rPr>
          <w:rFonts w:ascii="仿宋" w:hAnsi="仿宋" w:eastAsia="仿宋" w:cs="宋体"/>
          <w:color w:val="000000"/>
          <w:kern w:val="0"/>
          <w:sz w:val="32"/>
          <w:szCs w:val="32"/>
        </w:rPr>
        <w:t>；</w:t>
      </w:r>
    </w:p>
    <w:p>
      <w:pPr>
        <w:widowControl/>
        <w:shd w:val="clear" w:color="auto" w:fill="FFFFFF"/>
        <w:spacing w:line="560" w:lineRule="exact"/>
        <w:ind w:firstLine="640" w:firstLineChars="200"/>
        <w:rPr>
          <w:rFonts w:ascii="仿宋" w:hAnsi="仿宋" w:eastAsia="仿宋"/>
          <w:color w:val="000000"/>
          <w:kern w:val="0"/>
          <w:sz w:val="32"/>
          <w:szCs w:val="32"/>
        </w:rPr>
      </w:pPr>
      <w:r>
        <w:rPr>
          <w:rFonts w:hint="eastAsia" w:ascii="仿宋" w:hAnsi="仿宋" w:eastAsia="仿宋" w:cs="宋体"/>
          <w:color w:val="000000"/>
          <w:kern w:val="0"/>
          <w:sz w:val="32"/>
          <w:szCs w:val="32"/>
        </w:rPr>
        <w:t>听取和审议市“一府两院”向常委会的工作报告和汇报，评议市政府所属部门和市“两院”的工作，可以就有关议题进行专题询问；</w:t>
      </w:r>
    </w:p>
    <w:p>
      <w:pPr>
        <w:widowControl/>
        <w:shd w:val="clear" w:color="auto" w:fill="FFFFFF"/>
        <w:spacing w:line="560" w:lineRule="exact"/>
        <w:ind w:firstLine="640" w:firstLineChars="200"/>
        <w:rPr>
          <w:rFonts w:ascii="仿宋" w:hAnsi="仿宋" w:eastAsia="仿宋"/>
          <w:color w:val="000000"/>
          <w:kern w:val="0"/>
          <w:sz w:val="32"/>
          <w:szCs w:val="32"/>
        </w:rPr>
      </w:pPr>
      <w:r>
        <w:rPr>
          <w:rFonts w:hint="eastAsia" w:ascii="仿宋" w:hAnsi="仿宋" w:eastAsia="仿宋" w:cs="宋体"/>
          <w:color w:val="000000"/>
          <w:kern w:val="0"/>
          <w:sz w:val="32"/>
          <w:szCs w:val="32"/>
        </w:rPr>
        <w:t>审议撤销同宪法，法律，法规相抵触和不适当的</w:t>
      </w:r>
      <w:r>
        <w:rPr>
          <w:rFonts w:ascii="仿宋" w:hAnsi="仿宋" w:eastAsia="仿宋" w:cs="宋体"/>
          <w:color w:val="000000"/>
          <w:kern w:val="0"/>
          <w:sz w:val="32"/>
          <w:szCs w:val="32"/>
        </w:rPr>
        <w:t>市人民政府决定和命令，</w:t>
      </w:r>
      <w:r>
        <w:rPr>
          <w:rFonts w:hint="eastAsia" w:ascii="仿宋" w:hAnsi="仿宋" w:eastAsia="仿宋" w:cs="宋体"/>
          <w:color w:val="000000"/>
          <w:kern w:val="0"/>
          <w:sz w:val="32"/>
          <w:szCs w:val="32"/>
        </w:rPr>
        <w:t>审议</w:t>
      </w:r>
      <w:r>
        <w:rPr>
          <w:rFonts w:ascii="仿宋" w:hAnsi="仿宋" w:eastAsia="仿宋" w:cs="宋体"/>
          <w:color w:val="000000"/>
          <w:kern w:val="0"/>
          <w:sz w:val="32"/>
          <w:szCs w:val="32"/>
        </w:rPr>
        <w:t>撤销县、自治县、区人民代表大会及其常务委员会的不适当的决议；联系市人民代表大会代表，受理人民群众对本市国家机关和国家工作人员的申诉和意见；</w:t>
      </w:r>
    </w:p>
    <w:p>
      <w:pPr>
        <w:widowControl/>
        <w:shd w:val="clear" w:color="auto" w:fill="FFFFFF"/>
        <w:spacing w:line="560" w:lineRule="exact"/>
        <w:ind w:firstLine="640" w:firstLineChars="200"/>
        <w:rPr>
          <w:rFonts w:ascii="仿宋" w:hAnsi="仿宋" w:eastAsia="仿宋"/>
          <w:color w:val="000000"/>
          <w:kern w:val="0"/>
          <w:sz w:val="32"/>
          <w:szCs w:val="32"/>
        </w:rPr>
      </w:pPr>
      <w:r>
        <w:rPr>
          <w:rFonts w:ascii="仿宋" w:hAnsi="仿宋" w:eastAsia="仿宋" w:cs="宋体"/>
          <w:color w:val="000000"/>
          <w:kern w:val="0"/>
          <w:sz w:val="32"/>
          <w:szCs w:val="32"/>
        </w:rPr>
        <w:t>在市人民代表团大会闭会期间，决定副市长的个别任免；在市长、市中级人民法院院长、市人民检察院检察长因故不能担任职务的时候，决定代理人选（决定代理检察长须报省人民检察院和省人民代表大会常务委员会备案）。</w:t>
      </w:r>
    </w:p>
    <w:p>
      <w:pPr>
        <w:widowControl/>
        <w:shd w:val="clear" w:color="auto" w:fill="FFFFFF"/>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决定市人民政府秘书长、局长、委员会主任的任免；任免市中级人民法院副院长、庭长、副庭长、审判委员会委员、审判员，市人民检察院副检察长、检察委员会委员、检察员，批准任免县、自治县、区人民检察院检察长；</w:t>
      </w:r>
    </w:p>
    <w:p>
      <w:pPr>
        <w:widowControl/>
        <w:shd w:val="clear" w:color="auto" w:fill="FFFFFF"/>
        <w:spacing w:line="560" w:lineRule="exact"/>
        <w:ind w:firstLine="640" w:firstLineChars="200"/>
        <w:rPr>
          <w:rFonts w:ascii="仿宋" w:hAnsi="仿宋" w:eastAsia="仿宋"/>
          <w:color w:val="000000"/>
          <w:kern w:val="0"/>
          <w:sz w:val="32"/>
          <w:szCs w:val="32"/>
        </w:rPr>
      </w:pPr>
      <w:r>
        <w:rPr>
          <w:rFonts w:ascii="仿宋" w:hAnsi="仿宋" w:eastAsia="仿宋" w:cs="宋体"/>
          <w:color w:val="000000"/>
          <w:kern w:val="0"/>
          <w:sz w:val="32"/>
          <w:szCs w:val="32"/>
        </w:rPr>
        <w:t>在市人民代表大会闭会期间，决定撤销个别副市长的职务；决定撤销由它任命的市人民政府其他组成人员和市中级人民法院副院长、庭长、副庭长、审判委员会委员、审判员，市人民</w:t>
      </w:r>
      <w:r>
        <w:rPr>
          <w:rFonts w:ascii="Verdana" w:hAnsi="Verdana" w:eastAsia="仿宋" w:cs="宋体"/>
          <w:color w:val="000000"/>
          <w:kern w:val="0"/>
          <w:sz w:val="32"/>
          <w:szCs w:val="32"/>
        </w:rPr>
        <w:t> </w:t>
      </w:r>
      <w:r>
        <w:rPr>
          <w:rFonts w:ascii="仿宋" w:hAnsi="仿宋" w:eastAsia="仿宋" w:cs="宋体"/>
          <w:color w:val="000000"/>
          <w:kern w:val="0"/>
          <w:sz w:val="32"/>
          <w:szCs w:val="32"/>
        </w:rPr>
        <w:t xml:space="preserve"> 领导或者主持市人民代表大会代表的选举，召集市人民代表大会会议；检察院副检察长、检察委员会委员、检察员的职务；</w:t>
      </w:r>
    </w:p>
    <w:p>
      <w:pPr>
        <w:widowControl/>
        <w:shd w:val="clear" w:color="auto" w:fill="FFFFFF"/>
        <w:spacing w:line="560" w:lineRule="exact"/>
        <w:ind w:firstLine="640" w:firstLineChars="200"/>
        <w:rPr>
          <w:rFonts w:ascii="仿宋" w:hAnsi="仿宋" w:eastAsia="仿宋"/>
          <w:color w:val="000000"/>
          <w:kern w:val="0"/>
          <w:sz w:val="32"/>
          <w:szCs w:val="32"/>
        </w:rPr>
      </w:pPr>
      <w:r>
        <w:rPr>
          <w:rFonts w:ascii="仿宋" w:hAnsi="仿宋" w:eastAsia="仿宋" w:cs="宋体"/>
          <w:color w:val="000000"/>
          <w:kern w:val="0"/>
          <w:sz w:val="32"/>
          <w:szCs w:val="32"/>
        </w:rPr>
        <w:t>领导或者主持市人民代表大会代表的选举，召集市人民代表大会会议；</w:t>
      </w:r>
    </w:p>
    <w:p>
      <w:pPr>
        <w:widowControl/>
        <w:shd w:val="clear" w:color="auto" w:fill="FFFFFF"/>
        <w:spacing w:line="560" w:lineRule="exact"/>
        <w:ind w:firstLine="640" w:firstLineChars="200"/>
        <w:rPr>
          <w:rFonts w:ascii="仿宋" w:hAnsi="仿宋" w:eastAsia="仿宋"/>
          <w:color w:val="000000"/>
          <w:kern w:val="0"/>
          <w:sz w:val="32"/>
          <w:szCs w:val="32"/>
        </w:rPr>
      </w:pPr>
      <w:r>
        <w:rPr>
          <w:rFonts w:ascii="仿宋" w:hAnsi="仿宋" w:eastAsia="仿宋" w:cs="宋体"/>
          <w:color w:val="000000"/>
          <w:kern w:val="0"/>
          <w:sz w:val="32"/>
          <w:szCs w:val="32"/>
        </w:rPr>
        <w:t>在市人民代表大会闭会期间，补选本市出席的河北省人民代表大会代表和罢免个别代表；</w:t>
      </w:r>
    </w:p>
    <w:p>
      <w:pPr>
        <w:widowControl/>
        <w:shd w:val="clear" w:color="auto" w:fill="FFFFFF"/>
        <w:spacing w:line="560" w:lineRule="exact"/>
        <w:ind w:firstLine="640" w:firstLineChars="200"/>
        <w:rPr>
          <w:rFonts w:ascii="仿宋" w:hAnsi="仿宋" w:eastAsia="仿宋"/>
          <w:color w:val="000000"/>
          <w:kern w:val="0"/>
          <w:sz w:val="32"/>
          <w:szCs w:val="32"/>
        </w:rPr>
      </w:pPr>
      <w:r>
        <w:rPr>
          <w:rFonts w:hint="eastAsia" w:ascii="仿宋" w:hAnsi="仿宋" w:eastAsia="仿宋" w:cs="宋体"/>
          <w:color w:val="000000"/>
          <w:kern w:val="0"/>
          <w:sz w:val="32"/>
          <w:szCs w:val="32"/>
        </w:rPr>
        <w:t>按法律规定拥有地方立法权，可以就法律规定的事项制定地方性法规，同时开展规范性文件备案审查工作；</w:t>
      </w:r>
    </w:p>
    <w:p>
      <w:pPr>
        <w:widowControl/>
        <w:shd w:val="clear" w:color="auto" w:fill="FFFFFF"/>
        <w:spacing w:line="560" w:lineRule="exact"/>
        <w:ind w:firstLine="640" w:firstLineChars="200"/>
        <w:rPr>
          <w:rFonts w:ascii="仿宋" w:hAnsi="仿宋" w:eastAsia="仿宋"/>
          <w:color w:val="000000"/>
          <w:kern w:val="0"/>
          <w:sz w:val="32"/>
          <w:szCs w:val="32"/>
        </w:rPr>
      </w:pPr>
      <w:r>
        <w:rPr>
          <w:rFonts w:ascii="仿宋" w:hAnsi="仿宋" w:eastAsia="仿宋" w:cs="宋体"/>
          <w:color w:val="000000"/>
          <w:kern w:val="0"/>
          <w:sz w:val="32"/>
          <w:szCs w:val="32"/>
        </w:rPr>
        <w:t>决定授予地方的荣誉称号。</w:t>
      </w:r>
    </w:p>
    <w:p>
      <w:pPr>
        <w:spacing w:line="560" w:lineRule="exact"/>
        <w:ind w:firstLine="63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部门基本情况及设置</w:t>
      </w:r>
    </w:p>
    <w:p>
      <w:pPr>
        <w:spacing w:line="560" w:lineRule="exact"/>
        <w:ind w:firstLine="630"/>
        <w:jc w:val="center"/>
        <w:rPr>
          <w:rFonts w:ascii="黑体" w:hAnsi="黑体" w:eastAsia="黑体"/>
          <w:b/>
          <w:sz w:val="32"/>
          <w:szCs w:val="32"/>
        </w:rPr>
      </w:pPr>
    </w:p>
    <w:p>
      <w:pPr>
        <w:spacing w:line="560" w:lineRule="exact"/>
        <w:ind w:firstLine="630"/>
        <w:rPr>
          <w:rFonts w:ascii="仿宋" w:hAnsi="仿宋" w:eastAsia="仿宋"/>
          <w:sz w:val="32"/>
          <w:szCs w:val="32"/>
        </w:rPr>
      </w:pPr>
      <w:r>
        <w:rPr>
          <w:rFonts w:hint="eastAsia" w:ascii="仿宋" w:hAnsi="仿宋" w:eastAsia="仿宋"/>
          <w:sz w:val="32"/>
          <w:szCs w:val="32"/>
        </w:rPr>
        <w:t>承德市人民代表大会常务委员会办公室单位性质为行政，单位规格为正厅局级，经费保障形式为财政全额拨款。人大常委会机关人员编制共76名，其中干部编制61名，工勤编制15名。市人大常委会机关设办公室、研究室和8个工作委员会：选举任免代表工作委员会、内务司法工作委员会、财政经济工作委员会、农业和农村工作委员会、城乡建设和环境资源工作委员会、教育科学文化卫生工作委员会、民族侨务外事工作委员会、法制工作委员会。目前实际在职80人，离休4人，退休75人，共计159人。机关公务用车9辆。</w:t>
      </w:r>
    </w:p>
    <w:p>
      <w:pPr>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部门机构设置情况</w:t>
      </w:r>
    </w:p>
    <w:tbl>
      <w:tblPr>
        <w:tblStyle w:val="4"/>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办公室</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研究室</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正处级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选举任免代表工作委员会</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正处级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内务司法工作委员会</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正处级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 xml:space="preserve">财政经济工作委员会 </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正处级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农业和农村工作委员会</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正处级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城乡建设和环境资源工作委员会</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正处级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教育科学文化卫生工作委员会</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正处级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民族侨务外事工作委员会</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正处级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方正书宋_GBK"/>
              </w:rPr>
            </w:pPr>
            <w:r>
              <w:rPr>
                <w:rFonts w:hint="eastAsia" w:ascii="方正书宋_GBK" w:eastAsia="方正书宋_GBK"/>
              </w:rPr>
              <w:t>法制工作委员会</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正处级</w:t>
            </w:r>
          </w:p>
        </w:tc>
        <w:tc>
          <w:tcPr>
            <w:tcW w:w="2902"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bl>
    <w:p>
      <w:pPr>
        <w:jc w:val="center"/>
        <w:rPr>
          <w:rFonts w:ascii="仿宋_GB2312" w:hAnsi="宋体" w:eastAsia="仿宋_GB2312" w:cs="宋体"/>
          <w:kern w:val="0"/>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firstLineChars="200"/>
        <w:rPr>
          <w:rFonts w:ascii="仿宋" w:hAnsi="仿宋" w:eastAsia="仿宋" w:cs="Times New Roman"/>
          <w:sz w:val="32"/>
          <w:szCs w:val="32"/>
        </w:rPr>
      </w:pPr>
      <w:r>
        <w:rPr>
          <w:rFonts w:ascii="仿宋" w:hAnsi="仿宋" w:eastAsia="仿宋" w:cs="Times New Roman"/>
          <w:sz w:val="32"/>
          <w:szCs w:val="32"/>
        </w:rPr>
        <w:t>按照预算管理有关规定，目前我省部门预算的编制实行综合预算制度，即全部收入和支出都反映</w:t>
      </w:r>
      <w:r>
        <w:rPr>
          <w:rFonts w:hint="eastAsia" w:ascii="仿宋" w:hAnsi="仿宋" w:eastAsia="仿宋" w:cs="Times New Roman"/>
          <w:sz w:val="32"/>
          <w:szCs w:val="32"/>
        </w:rPr>
        <w:t>在</w:t>
      </w:r>
      <w:r>
        <w:rPr>
          <w:rFonts w:ascii="仿宋" w:hAnsi="仿宋" w:eastAsia="仿宋" w:cs="Times New Roman"/>
          <w:sz w:val="32"/>
          <w:szCs w:val="32"/>
        </w:rPr>
        <w:t>预算中。</w:t>
      </w:r>
      <w:r>
        <w:rPr>
          <w:rFonts w:hint="eastAsia" w:ascii="仿宋" w:hAnsi="仿宋" w:eastAsia="仿宋" w:cs="Times New Roman"/>
          <w:sz w:val="32"/>
          <w:szCs w:val="32"/>
        </w:rPr>
        <w:t>纳入本部门预算汇编范围的独立核算单位1个，即承德市人民代表大会常务委员会办公室，且无下属单位。根据财政局2019年2月14日下发的预算批复《承德市财政局关于批复2019年市本级部门收支预算的通知》（承财预【2019】10号），我单位2019年预算安排总体情况如下：</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1、</w:t>
      </w:r>
      <w:r>
        <w:rPr>
          <w:rFonts w:ascii="仿宋" w:hAnsi="仿宋" w:eastAsia="仿宋" w:cs="Times New Roman"/>
          <w:b/>
          <w:sz w:val="32"/>
          <w:szCs w:val="32"/>
        </w:rPr>
        <w:t>收入说明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2019年预算收入为2002万元，其中基本收入1616.83万元，包括人员经费1409.83万元和日常公用经费207万元；项目经费385.17万元，全部为一般财政拨款收入。2018年预算收入为1914.57万元，其中基本收入1509.4万元，包括人员经费1293.12万元和日常公用经费216.28万元；项目经费405.17万元，且全部为一般财政拨款收入。2019年比2018年预算收入增加了87.43万元，增加4%，主要原因为人员经费拨款收入的增加。</w:t>
      </w:r>
    </w:p>
    <w:p>
      <w:pPr>
        <w:numPr>
          <w:ilvl w:val="0"/>
          <w:numId w:val="2"/>
        </w:numPr>
        <w:ind w:firstLine="640"/>
        <w:rPr>
          <w:rFonts w:ascii="仿宋" w:hAnsi="仿宋" w:eastAsia="仿宋" w:cs="Times New Roman"/>
          <w:b/>
          <w:sz w:val="32"/>
          <w:szCs w:val="32"/>
        </w:rPr>
      </w:pPr>
      <w:r>
        <w:rPr>
          <w:rFonts w:ascii="仿宋" w:hAnsi="仿宋" w:eastAsia="仿宋" w:cs="Times New Roman"/>
          <w:b/>
          <w:sz w:val="32"/>
          <w:szCs w:val="32"/>
        </w:rPr>
        <w:t>支出说明</w:t>
      </w:r>
    </w:p>
    <w:p>
      <w:pPr>
        <w:rPr>
          <w:rFonts w:ascii="仿宋" w:hAnsi="仿宋" w:eastAsia="仿宋" w:cs="仿宋_GB2312"/>
          <w:sz w:val="32"/>
          <w:szCs w:val="32"/>
        </w:rPr>
      </w:pPr>
      <w:r>
        <w:rPr>
          <w:rFonts w:hint="eastAsia" w:ascii="仿宋" w:hAnsi="仿宋" w:eastAsia="仿宋" w:cs="仿宋_GB2312"/>
          <w:sz w:val="32"/>
          <w:szCs w:val="32"/>
        </w:rPr>
        <w:t>收支预算总表支出栏、基本支出表、项目支出表按经济分类和支出功能分类科目编制，反映承德市人民代表大会常务委员会办公室年度部门预算中支出预算的总体情况。2019年部门支出预算为2002万元，其中基本支出1616.83万元，包括人员经费1409.83万元和日常公用经费207万元；项目支出385.17万元，全部为本级支出。2018年部门支出预算为1914.57万元，其中基本支出1509.4万元，包括人员经费1293.12万元和日常公用经费216.28万元；项目支出405.17万元，且全部为本级支出。2019年比2018年预算支增加了87.43万元，增加4%，主要原因为人员经费支出增加。</w:t>
      </w:r>
    </w:p>
    <w:p>
      <w:pPr>
        <w:numPr>
          <w:ilvl w:val="0"/>
          <w:numId w:val="2"/>
        </w:numPr>
        <w:ind w:firstLine="640"/>
        <w:rPr>
          <w:rFonts w:ascii="仿宋" w:hAnsi="仿宋" w:eastAsia="仿宋" w:cs="Times New Roman"/>
          <w:b/>
          <w:sz w:val="32"/>
          <w:szCs w:val="32"/>
        </w:rPr>
      </w:pPr>
      <w:r>
        <w:rPr>
          <w:rFonts w:ascii="仿宋" w:hAnsi="仿宋" w:eastAsia="仿宋" w:cs="Times New Roman"/>
          <w:b/>
          <w:sz w:val="32"/>
          <w:szCs w:val="32"/>
        </w:rPr>
        <w:t>比上年增减情况</w:t>
      </w:r>
    </w:p>
    <w:p>
      <w:pPr>
        <w:rPr>
          <w:rFonts w:ascii="仿宋" w:hAnsi="仿宋" w:eastAsia="仿宋" w:cs="仿宋_GB2312"/>
          <w:sz w:val="32"/>
          <w:szCs w:val="32"/>
        </w:rPr>
      </w:pPr>
      <w:r>
        <w:rPr>
          <w:rFonts w:hint="eastAsia" w:ascii="仿宋" w:hAnsi="仿宋" w:eastAsia="仿宋" w:cs="仿宋_GB2312"/>
          <w:sz w:val="32"/>
          <w:szCs w:val="32"/>
        </w:rPr>
        <w:t xml:space="preserve"> 2019年部门预算较2018年增长87.43万元，其中基本支出增加107.43万元，主要是人员经费的增加，形成原因为在2019年的人员经费支出奖金预算中增加了绩效考核奖励工资每人0.9万元以及创城建设资金每人0.1万元，每人每年奖金增长1万元；并且人员工资经过两年晋档和五年晋级后也有所增加。项目支出减少20万元，也就是本年项目支出与上年项目支出相比差额为20万元，差额形成的主要原因是因为上一年度的电子表决器系统安装经费是一次性项目，未在本年度列支，减少59万元；信息化建设专项经费减少16万元；本年度增加代表培训经费45万元，立法经费10万元。</w:t>
      </w:r>
    </w:p>
    <w:p>
      <w:pPr>
        <w:autoSpaceDE w:val="0"/>
        <w:autoSpaceDN w:val="0"/>
        <w:adjustRightInd w:val="0"/>
        <w:ind w:firstLine="800" w:firstLineChars="250"/>
        <w:jc w:val="left"/>
        <w:rPr>
          <w:rFonts w:ascii="仿宋" w:hAnsi="仿宋" w:eastAsia="仿宋" w:cs="Times New Roman"/>
          <w:sz w:val="32"/>
          <w:szCs w:val="32"/>
        </w:rPr>
      </w:pPr>
      <w:r>
        <w:rPr>
          <w:rFonts w:hint="eastAsia" w:ascii="仿宋" w:hAnsi="仿宋" w:eastAsia="仿宋" w:cs="Times New Roman"/>
          <w:sz w:val="32"/>
          <w:szCs w:val="32"/>
        </w:rPr>
        <w:t>三、机关运行经费预算安排情况及增减变化原因</w:t>
      </w:r>
    </w:p>
    <w:p>
      <w:pPr>
        <w:autoSpaceDE w:val="0"/>
        <w:autoSpaceDN w:val="0"/>
        <w:adjustRightInd w:val="0"/>
        <w:ind w:left="198" w:firstLine="640" w:firstLineChars="200"/>
        <w:jc w:val="left"/>
        <w:rPr>
          <w:rFonts w:ascii="仿宋" w:hAnsi="仿宋" w:eastAsia="仿宋" w:cs="仿宋_GB2312"/>
          <w:sz w:val="32"/>
          <w:szCs w:val="32"/>
        </w:rPr>
      </w:pPr>
      <w:r>
        <w:rPr>
          <w:rFonts w:hint="eastAsia" w:ascii="仿宋" w:hAnsi="仿宋" w:eastAsia="仿宋" w:cs="仿宋_GB2312"/>
          <w:sz w:val="32"/>
          <w:szCs w:val="32"/>
        </w:rPr>
        <w:t>2019年度机关运行经费共计安排207万元，主要用于保证机关正常运转的办公费19.36万元、邮电费6.74万元、差旅费20万元、公务用车运行维护费6.3万元、接待费1.26万元、公务交通补贴79.68万元、工会经费7.87万元、福利费8.94万元、离退休人员日常公用经费7.07万元、离退休人员福利费7.48万元、移动通讯补贴42.3万元。</w:t>
      </w:r>
    </w:p>
    <w:p>
      <w:pPr>
        <w:autoSpaceDE w:val="0"/>
        <w:autoSpaceDN w:val="0"/>
        <w:adjustRightInd w:val="0"/>
        <w:ind w:left="198" w:firstLine="640" w:firstLineChars="200"/>
        <w:jc w:val="left"/>
        <w:rPr>
          <w:rFonts w:ascii="仿宋" w:hAnsi="仿宋" w:eastAsia="仿宋" w:cs="仿宋_GB2312"/>
          <w:sz w:val="32"/>
          <w:szCs w:val="32"/>
        </w:rPr>
      </w:pPr>
      <w:r>
        <w:rPr>
          <w:rFonts w:hint="eastAsia" w:ascii="仿宋" w:hAnsi="仿宋" w:eastAsia="仿宋" w:cs="仿宋_GB2312"/>
          <w:sz w:val="32"/>
          <w:szCs w:val="32"/>
        </w:rPr>
        <w:t>2018年度机关运行经费共计安排216.28万元，主要用于保证机关正常运转的办公费20.04万元、邮电费7.81万元、差旅费20万元、公务用车运行维护费6.3万元、接待费1.29万元、公务交通补贴85.51万元、工会经费8.28万元、福利费9.42万元、离退休人员日常公用经费6.61万元、离退休人员福利费6.62万元、移动通讯补贴44.4万元。</w:t>
      </w:r>
    </w:p>
    <w:p>
      <w:pPr>
        <w:autoSpaceDE w:val="0"/>
        <w:autoSpaceDN w:val="0"/>
        <w:adjustRightInd w:val="0"/>
        <w:ind w:left="198" w:firstLine="640" w:firstLineChars="200"/>
        <w:jc w:val="left"/>
        <w:rPr>
          <w:rFonts w:ascii="仿宋" w:hAnsi="仿宋" w:eastAsia="仿宋" w:cs="仿宋_GB2312"/>
          <w:sz w:val="32"/>
          <w:szCs w:val="32"/>
        </w:rPr>
      </w:pPr>
      <w:r>
        <w:rPr>
          <w:rFonts w:hint="eastAsia" w:ascii="仿宋" w:hAnsi="仿宋" w:eastAsia="仿宋" w:cs="仿宋_GB2312"/>
          <w:sz w:val="32"/>
          <w:szCs w:val="32"/>
        </w:rPr>
        <w:t>机关运行经费2019年度比2018年度预算减少9.28万元，下降4%。减少的主要原因是在职人员转退休6人，其公务交通补贴及移动通讯补贴在退休后相应取消，在职人员的减少导致计提的定额公用经费、工会经费、福利费等也相应减少。</w:t>
      </w:r>
    </w:p>
    <w:p>
      <w:pPr>
        <w:autoSpaceDE w:val="0"/>
        <w:autoSpaceDN w:val="0"/>
        <w:adjustRightInd w:val="0"/>
        <w:ind w:left="198" w:firstLine="640" w:firstLineChars="200"/>
        <w:jc w:val="left"/>
        <w:rPr>
          <w:rFonts w:ascii="仿宋" w:hAnsi="仿宋" w:eastAsia="仿宋" w:cs="Times New Roman"/>
          <w:sz w:val="32"/>
          <w:szCs w:val="32"/>
        </w:rPr>
      </w:pPr>
      <w:r>
        <w:rPr>
          <w:rFonts w:hint="eastAsia" w:ascii="仿宋" w:hAnsi="仿宋" w:eastAsia="仿宋" w:cs="Times New Roman"/>
          <w:sz w:val="32"/>
          <w:szCs w:val="32"/>
        </w:rPr>
        <w:t>四、财政拨款</w:t>
      </w:r>
      <w:r>
        <w:rPr>
          <w:rFonts w:ascii="仿宋" w:hAnsi="仿宋" w:eastAsia="仿宋" w:cs="Times New Roman"/>
          <w:sz w:val="32"/>
          <w:szCs w:val="32"/>
        </w:rPr>
        <w:t>“</w:t>
      </w:r>
      <w:r>
        <w:rPr>
          <w:rFonts w:hint="eastAsia" w:ascii="仿宋" w:hAnsi="仿宋" w:eastAsia="仿宋" w:cs="Times New Roman"/>
          <w:sz w:val="32"/>
          <w:szCs w:val="32"/>
        </w:rPr>
        <w:t>三公</w:t>
      </w:r>
      <w:r>
        <w:rPr>
          <w:rFonts w:ascii="仿宋" w:hAnsi="仿宋" w:eastAsia="仿宋" w:cs="Times New Roman"/>
          <w:sz w:val="32"/>
          <w:szCs w:val="32"/>
        </w:rPr>
        <w:t>”</w:t>
      </w:r>
      <w:r>
        <w:rPr>
          <w:rFonts w:hint="eastAsia" w:ascii="仿宋" w:hAnsi="仿宋" w:eastAsia="仿宋" w:cs="Times New Roman"/>
          <w:sz w:val="32"/>
          <w:szCs w:val="32"/>
        </w:rPr>
        <w:t>经费预算情况及增减变化原因</w:t>
      </w:r>
    </w:p>
    <w:p>
      <w:pPr>
        <w:autoSpaceDE w:val="0"/>
        <w:autoSpaceDN w:val="0"/>
        <w:adjustRightInd w:val="0"/>
        <w:ind w:left="198" w:firstLine="640" w:firstLineChars="200"/>
        <w:jc w:val="left"/>
        <w:rPr>
          <w:rFonts w:ascii="仿宋" w:hAnsi="仿宋" w:eastAsia="仿宋" w:cs="仿宋_GB2312"/>
          <w:sz w:val="32"/>
          <w:szCs w:val="32"/>
        </w:rPr>
      </w:pPr>
      <w:r>
        <w:rPr>
          <w:rFonts w:hint="eastAsia" w:ascii="仿宋" w:hAnsi="仿宋" w:eastAsia="仿宋" w:cs="仿宋_GB2312"/>
          <w:sz w:val="32"/>
          <w:szCs w:val="32"/>
        </w:rPr>
        <w:t>2019年财政拨款“三公”经费预算安排33.56万元，其中：因公出国（境）费0万元，公务用车购置及运维费6.3万元（其中公务用车购置费为0元，公务用车运行费6.3万元）。公务接待费27.26万元，基本包括基本支出1.26万元，项目支出26万元。</w:t>
      </w:r>
    </w:p>
    <w:p>
      <w:pPr>
        <w:autoSpaceDE w:val="0"/>
        <w:autoSpaceDN w:val="0"/>
        <w:adjustRightInd w:val="0"/>
        <w:ind w:left="198" w:firstLine="640" w:firstLineChars="200"/>
        <w:jc w:val="left"/>
        <w:rPr>
          <w:rFonts w:ascii="仿宋" w:hAnsi="仿宋" w:eastAsia="仿宋" w:cs="仿宋_GB2312"/>
          <w:sz w:val="32"/>
          <w:szCs w:val="32"/>
        </w:rPr>
      </w:pPr>
      <w:r>
        <w:rPr>
          <w:rFonts w:hint="eastAsia" w:ascii="仿宋" w:hAnsi="仿宋" w:eastAsia="仿宋" w:cs="仿宋_GB2312"/>
          <w:sz w:val="32"/>
          <w:szCs w:val="32"/>
        </w:rPr>
        <w:t>2018年财政拨款“三公”经费预算安排34.04万元，其中：因公出国（境）费0万元；公务用车购置及运维费6.75万元，全部为公务用车运行维护费。公务接待费27.29万元，包括基本支出1.29万元，项目支出26万元。</w:t>
      </w:r>
    </w:p>
    <w:p>
      <w:pPr>
        <w:autoSpaceDE w:val="0"/>
        <w:autoSpaceDN w:val="0"/>
        <w:adjustRightInd w:val="0"/>
        <w:ind w:left="198" w:firstLine="640" w:firstLineChars="200"/>
        <w:jc w:val="left"/>
        <w:rPr>
          <w:rFonts w:ascii="仿宋" w:hAnsi="仿宋" w:eastAsia="仿宋" w:cs="仿宋_GB2312"/>
          <w:sz w:val="32"/>
          <w:szCs w:val="32"/>
        </w:rPr>
      </w:pPr>
      <w:r>
        <w:rPr>
          <w:rFonts w:hint="eastAsia" w:ascii="仿宋" w:hAnsi="仿宋" w:eastAsia="仿宋" w:cs="仿宋_GB2312"/>
          <w:sz w:val="32"/>
          <w:szCs w:val="32"/>
        </w:rPr>
        <w:t>“三公”经费预算安排2019年比2018年减少0.48万元，同比减少1%。其中：2019年因公出国（境）费与2018年无变化，均为0元。公务用车购买及运行维护费2019年比2018年减少0.45万元，同比下降6%，下降原因为九台公务用车每台车减少0.05万元车辆定额。公务接待费2019年比2018年减少了0.03万元，同比下降0.1%，变化原因是在职人员减少，计提公务接待费相应减少。</w:t>
      </w:r>
    </w:p>
    <w:p>
      <w:pPr>
        <w:autoSpaceDE w:val="0"/>
        <w:autoSpaceDN w:val="0"/>
        <w:adjustRightInd w:val="0"/>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五、绩效预算信息</w:t>
      </w:r>
    </w:p>
    <w:p>
      <w:pPr>
        <w:autoSpaceDE w:val="0"/>
        <w:autoSpaceDN w:val="0"/>
        <w:adjustRightInd w:val="0"/>
        <w:spacing w:line="520" w:lineRule="atLeast"/>
        <w:ind w:firstLine="645"/>
        <w:rPr>
          <w:rFonts w:ascii="仿宋" w:hAnsi="仿宋" w:eastAsia="仿宋"/>
          <w:kern w:val="0"/>
          <w:sz w:val="32"/>
          <w:szCs w:val="32"/>
          <w:lang w:val="zh-CN"/>
        </w:rPr>
      </w:pPr>
      <w:bookmarkStart w:id="0" w:name="_Toc471398463"/>
      <w:r>
        <w:rPr>
          <w:rFonts w:ascii="仿宋" w:hAnsi="仿宋" w:eastAsia="仿宋" w:cs="Times New Roman"/>
          <w:sz w:val="32"/>
          <w:szCs w:val="32"/>
        </w:rPr>
        <w:t>总体绩效目标：</w:t>
      </w:r>
      <w:r>
        <w:rPr>
          <w:rFonts w:ascii="仿宋" w:hAnsi="仿宋" w:eastAsia="仿宋" w:cs="仿宋_GB2312"/>
          <w:kern w:val="0"/>
          <w:sz w:val="32"/>
          <w:szCs w:val="32"/>
          <w:lang w:val="zh-CN"/>
        </w:rPr>
        <w:t>2019</w:t>
      </w:r>
      <w:r>
        <w:rPr>
          <w:rFonts w:hint="eastAsia" w:ascii="仿宋" w:hAnsi="仿宋" w:eastAsia="仿宋" w:cs="仿宋_GB2312"/>
          <w:kern w:val="0"/>
          <w:sz w:val="32"/>
          <w:szCs w:val="32"/>
          <w:lang w:val="zh-CN"/>
        </w:rPr>
        <w:t>年是新中国成立</w:t>
      </w:r>
      <w:r>
        <w:rPr>
          <w:rFonts w:ascii="仿宋" w:hAnsi="仿宋" w:eastAsia="仿宋" w:cs="仿宋_GB2312"/>
          <w:kern w:val="0"/>
          <w:sz w:val="32"/>
          <w:szCs w:val="32"/>
          <w:lang w:val="zh-CN"/>
        </w:rPr>
        <w:t>70</w:t>
      </w:r>
      <w:r>
        <w:rPr>
          <w:rFonts w:hint="eastAsia" w:ascii="仿宋" w:hAnsi="仿宋" w:eastAsia="仿宋" w:cs="仿宋_GB2312"/>
          <w:kern w:val="0"/>
          <w:sz w:val="32"/>
          <w:szCs w:val="32"/>
          <w:lang w:val="zh-CN"/>
        </w:rPr>
        <w:t>周年，是全面建成小康社会关键之年。市人大常委会工作的总体要求是：</w:t>
      </w:r>
      <w:r>
        <w:rPr>
          <w:rFonts w:hint="eastAsia" w:ascii="仿宋" w:hAnsi="仿宋" w:eastAsia="仿宋"/>
          <w:kern w:val="0"/>
          <w:sz w:val="32"/>
          <w:szCs w:val="32"/>
          <w:lang w:val="zh-CN"/>
        </w:rPr>
        <w:t>以习近平新时代中国特色社会主义思想为指导，全面贯彻党的十九大和十九届二中、三中全会精神，深入落实习近平总书记关于坚持和完善人民代表大会制度的重要思想，坚持党的领导、人民当家作主、依法治国有机统一，坚持新发展理念，坚持高质量发展，紧紧围绕全市大局，认真履行职责，依法行使职权，充分发挥地方国家权力机关作用，为开创新时代建设</w:t>
      </w:r>
      <w:r>
        <w:rPr>
          <w:rFonts w:ascii="仿宋" w:hAnsi="仿宋" w:eastAsia="仿宋"/>
          <w:kern w:val="0"/>
          <w:sz w:val="32"/>
          <w:szCs w:val="32"/>
          <w:lang w:val="zh-CN"/>
        </w:rPr>
        <w:t>“</w:t>
      </w:r>
      <w:r>
        <w:rPr>
          <w:rFonts w:hint="eastAsia" w:ascii="仿宋" w:hAnsi="仿宋" w:eastAsia="仿宋"/>
          <w:kern w:val="0"/>
          <w:sz w:val="32"/>
          <w:szCs w:val="32"/>
          <w:lang w:val="zh-CN"/>
        </w:rPr>
        <w:t>生态强市、魅力承德</w:t>
      </w:r>
      <w:r>
        <w:rPr>
          <w:rFonts w:ascii="仿宋" w:hAnsi="仿宋" w:eastAsia="仿宋"/>
          <w:kern w:val="0"/>
          <w:sz w:val="32"/>
          <w:szCs w:val="32"/>
          <w:lang w:val="zh-CN"/>
        </w:rPr>
        <w:t>”</w:t>
      </w:r>
      <w:r>
        <w:rPr>
          <w:rFonts w:hint="eastAsia" w:ascii="仿宋" w:hAnsi="仿宋" w:eastAsia="仿宋"/>
          <w:kern w:val="0"/>
          <w:sz w:val="32"/>
          <w:szCs w:val="32"/>
          <w:lang w:val="zh-CN"/>
        </w:rPr>
        <w:t>新局面汇聚人大力量、展示人大作为、作出人大贡献，以优异成绩庆祝中华人民共和国成立</w:t>
      </w:r>
      <w:r>
        <w:rPr>
          <w:rFonts w:ascii="仿宋" w:hAnsi="仿宋" w:eastAsia="仿宋"/>
          <w:kern w:val="0"/>
          <w:sz w:val="32"/>
          <w:szCs w:val="32"/>
          <w:lang w:val="zh-CN"/>
        </w:rPr>
        <w:t>70</w:t>
      </w:r>
      <w:r>
        <w:rPr>
          <w:rFonts w:hint="eastAsia" w:ascii="仿宋" w:hAnsi="仿宋" w:eastAsia="仿宋"/>
          <w:kern w:val="0"/>
          <w:sz w:val="32"/>
          <w:szCs w:val="32"/>
          <w:lang w:val="zh-CN"/>
        </w:rPr>
        <w:t>周年。</w:t>
      </w:r>
    </w:p>
    <w:p>
      <w:pPr>
        <w:jc w:val="left"/>
        <w:rPr>
          <w:rFonts w:ascii="仿宋" w:hAnsi="仿宋" w:eastAsia="仿宋"/>
          <w:b/>
          <w:sz w:val="28"/>
        </w:rPr>
      </w:pPr>
      <w:r>
        <w:rPr>
          <w:rFonts w:hint="eastAsia" w:ascii="仿宋" w:hAnsi="仿宋" w:eastAsia="仿宋"/>
          <w:b/>
          <w:sz w:val="28"/>
        </w:rPr>
        <w:t xml:space="preserve"> 职责分类绩效目标：</w:t>
      </w:r>
    </w:p>
    <w:p>
      <w:pPr>
        <w:ind w:firstLine="560"/>
        <w:rPr>
          <w:rFonts w:ascii="仿宋" w:hAnsi="仿宋" w:eastAsia="仿宋" w:cs="仿宋_GB2312"/>
          <w:sz w:val="32"/>
          <w:szCs w:val="32"/>
        </w:rPr>
      </w:pPr>
      <w:r>
        <w:rPr>
          <w:rFonts w:hint="eastAsia" w:ascii="仿宋" w:hAnsi="仿宋" w:eastAsia="仿宋" w:cs="仿宋_GB2312"/>
          <w:sz w:val="32"/>
          <w:szCs w:val="32"/>
        </w:rPr>
        <w:t>市人大常委会按职责分类2019年度绩效目标情况说明：</w:t>
      </w:r>
    </w:p>
    <w:p>
      <w:pPr>
        <w:ind w:firstLine="560"/>
        <w:rPr>
          <w:rFonts w:ascii="仿宋" w:hAnsi="仿宋" w:eastAsia="仿宋" w:cs="仿宋_GB2312"/>
          <w:sz w:val="32"/>
          <w:szCs w:val="32"/>
        </w:rPr>
      </w:pPr>
      <w:r>
        <w:rPr>
          <w:rFonts w:hint="eastAsia" w:ascii="仿宋" w:hAnsi="仿宋" w:eastAsia="仿宋" w:cs="仿宋_GB2312"/>
          <w:sz w:val="32"/>
          <w:szCs w:val="32"/>
        </w:rPr>
        <w:t>1、立法方面：按照市人大常委会2019年立法计划，</w:t>
      </w:r>
      <w:r>
        <w:rPr>
          <w:rFonts w:hint="eastAsia" w:ascii="仿宋" w:hAnsi="仿宋" w:eastAsia="仿宋"/>
          <w:sz w:val="32"/>
          <w:szCs w:val="32"/>
        </w:rPr>
        <w:t>全面推进地方立法工作。围绕重点问题，开展立法调研。</w:t>
      </w:r>
      <w:r>
        <w:rPr>
          <w:rFonts w:hint="eastAsia" w:ascii="仿宋" w:hAnsi="仿宋" w:eastAsia="仿宋" w:cs="仿宋_GB2312"/>
          <w:sz w:val="32"/>
          <w:szCs w:val="32"/>
        </w:rPr>
        <w:t>促进立法交流与合作，提高立法人员业务水平，促进立法工作的科学化、民主化，不断提高立法质量和水平。</w:t>
      </w:r>
    </w:p>
    <w:p>
      <w:pPr>
        <w:ind w:firstLine="560"/>
        <w:rPr>
          <w:rFonts w:ascii="仿宋" w:hAnsi="仿宋" w:eastAsia="仿宋" w:cs="仿宋_GB2312"/>
          <w:sz w:val="32"/>
          <w:szCs w:val="32"/>
        </w:rPr>
      </w:pPr>
      <w:r>
        <w:rPr>
          <w:rFonts w:hint="eastAsia" w:ascii="仿宋" w:hAnsi="仿宋" w:eastAsia="仿宋" w:cs="仿宋_GB2312"/>
          <w:sz w:val="32"/>
          <w:szCs w:val="32"/>
        </w:rPr>
        <w:t>2、监督方面：</w:t>
      </w:r>
      <w:r>
        <w:rPr>
          <w:rFonts w:hint="eastAsia" w:ascii="仿宋" w:hAnsi="仿宋" w:eastAsia="仿宋"/>
          <w:sz w:val="32"/>
          <w:szCs w:val="32"/>
        </w:rPr>
        <w:t>把关系改革发展、影响社会和谐、人民群众反映强烈的突出问题，作为监督重点，高质量开展监督工作。加强对法律法规贯彻实施情况的监督，加强对重点工作开展情况的监督，对重点工作进行视察和调研。</w:t>
      </w:r>
    </w:p>
    <w:p>
      <w:pPr>
        <w:ind w:firstLine="560"/>
        <w:rPr>
          <w:rFonts w:ascii="仿宋" w:hAnsi="仿宋" w:eastAsia="仿宋" w:cs="仿宋_GB2312"/>
          <w:sz w:val="32"/>
          <w:szCs w:val="32"/>
        </w:rPr>
      </w:pPr>
      <w:r>
        <w:rPr>
          <w:rFonts w:hint="eastAsia" w:ascii="仿宋" w:hAnsi="仿宋" w:eastAsia="仿宋" w:cs="仿宋_GB2312"/>
          <w:sz w:val="32"/>
          <w:szCs w:val="32"/>
        </w:rPr>
        <w:t>3、人大会议方面：确保会议按照议程顺利进行，达到预期目的，圆满完成各项任务。完善各项会议制度，规范会议程序，提高会议质量，提高人大代表及常委会审议水平。</w:t>
      </w:r>
    </w:p>
    <w:p>
      <w:pPr>
        <w:ind w:firstLine="560"/>
        <w:rPr>
          <w:rFonts w:ascii="仿宋" w:hAnsi="仿宋" w:eastAsia="仿宋" w:cs="仿宋_GB2312"/>
          <w:sz w:val="32"/>
          <w:szCs w:val="32"/>
        </w:rPr>
      </w:pPr>
      <w:r>
        <w:rPr>
          <w:rFonts w:hint="eastAsia" w:ascii="仿宋" w:hAnsi="仿宋" w:eastAsia="仿宋" w:cs="仿宋_GB2312"/>
          <w:sz w:val="32"/>
          <w:szCs w:val="32"/>
        </w:rPr>
        <w:t>4、人事任免方面：严格遵循法律法规规定，严格规范工作程序，做好人事任免工作。高质量完成国家机关领导人选举和常委会人事任免工作；高效督办有关部门负责人的目标责任书和述职报告</w:t>
      </w:r>
    </w:p>
    <w:p>
      <w:pPr>
        <w:ind w:firstLine="560"/>
        <w:rPr>
          <w:rFonts w:ascii="仿宋" w:hAnsi="仿宋" w:eastAsia="仿宋" w:cs="仿宋_GB2312"/>
          <w:sz w:val="32"/>
          <w:szCs w:val="32"/>
        </w:rPr>
      </w:pPr>
      <w:r>
        <w:rPr>
          <w:rFonts w:hint="eastAsia" w:ascii="仿宋" w:hAnsi="仿宋" w:eastAsia="仿宋" w:cs="仿宋_GB2312"/>
          <w:sz w:val="32"/>
          <w:szCs w:val="32"/>
        </w:rPr>
        <w:t>5、人大事务管理方面：（1）保障新闻宣传与新闻发布工作正常开展，提高人大信息透明度和影响力，加强人大对内、对外交流。保障会议表决系统正常运转；网络与办公平台正常运行；促进社会和谐稳定。（2）机关基础设施设备正常运转，信息化保障、老干部服务保障能力进一步提高。</w:t>
      </w:r>
    </w:p>
    <w:p>
      <w:pPr>
        <w:autoSpaceDE w:val="0"/>
        <w:autoSpaceDN w:val="0"/>
        <w:adjustRightInd w:val="0"/>
        <w:spacing w:line="580" w:lineRule="atLeast"/>
        <w:jc w:val="center"/>
        <w:rPr>
          <w:rFonts w:ascii="仿宋" w:hAnsi="仿宋" w:eastAsia="仿宋"/>
          <w:b/>
          <w:color w:val="000000"/>
          <w:kern w:val="0"/>
          <w:sz w:val="44"/>
          <w:szCs w:val="44"/>
          <w:lang w:val="zh-CN"/>
        </w:rPr>
      </w:pPr>
    </w:p>
    <w:p>
      <w:pPr>
        <w:autoSpaceDE w:val="0"/>
        <w:autoSpaceDN w:val="0"/>
        <w:adjustRightInd w:val="0"/>
        <w:spacing w:line="580" w:lineRule="atLeast"/>
        <w:jc w:val="center"/>
        <w:rPr>
          <w:rFonts w:ascii="宋体" w:hAnsi="宋体"/>
          <w:b/>
          <w:color w:val="000000"/>
          <w:kern w:val="0"/>
          <w:sz w:val="44"/>
          <w:szCs w:val="44"/>
          <w:lang w:val="zh-CN"/>
        </w:rPr>
      </w:pPr>
    </w:p>
    <w:p>
      <w:pPr>
        <w:autoSpaceDE w:val="0"/>
        <w:autoSpaceDN w:val="0"/>
        <w:adjustRightInd w:val="0"/>
        <w:spacing w:line="580" w:lineRule="atLeast"/>
        <w:jc w:val="center"/>
        <w:rPr>
          <w:rFonts w:ascii="宋体" w:hAnsi="宋体"/>
          <w:b/>
          <w:color w:val="000000"/>
          <w:kern w:val="0"/>
          <w:sz w:val="44"/>
          <w:szCs w:val="44"/>
          <w:lang w:val="zh-CN"/>
        </w:rPr>
      </w:pPr>
      <w:r>
        <w:rPr>
          <w:rFonts w:ascii="宋体" w:hAnsi="宋体"/>
          <w:b/>
          <w:color w:val="000000"/>
          <w:kern w:val="0"/>
          <w:sz w:val="44"/>
          <w:szCs w:val="44"/>
          <w:lang w:val="zh-CN"/>
        </w:rPr>
        <w:t>2019</w:t>
      </w:r>
      <w:r>
        <w:rPr>
          <w:rFonts w:hint="eastAsia" w:ascii="宋体" w:hAnsi="宋体"/>
          <w:b/>
          <w:color w:val="000000"/>
          <w:kern w:val="0"/>
          <w:sz w:val="44"/>
          <w:szCs w:val="44"/>
          <w:lang w:val="zh-CN"/>
        </w:rPr>
        <w:t>年市人大常委会议题安排</w:t>
      </w:r>
    </w:p>
    <w:p>
      <w:pPr>
        <w:autoSpaceDE w:val="0"/>
        <w:autoSpaceDN w:val="0"/>
        <w:adjustRightInd w:val="0"/>
        <w:spacing w:line="560" w:lineRule="exact"/>
        <w:rPr>
          <w:rFonts w:ascii="黑体" w:hAnsi="黑体" w:eastAsia="黑体" w:cs="仿宋"/>
          <w:bCs/>
          <w:color w:val="000000"/>
          <w:kern w:val="0"/>
          <w:sz w:val="32"/>
          <w:szCs w:val="32"/>
          <w:lang w:val="zh-CN"/>
        </w:rPr>
      </w:pPr>
      <w:r>
        <w:rPr>
          <w:rFonts w:hint="eastAsia" w:ascii="黑体" w:hAnsi="黑体" w:eastAsia="黑体" w:cs="仿宋"/>
          <w:bCs/>
          <w:color w:val="000000"/>
          <w:kern w:val="0"/>
          <w:sz w:val="32"/>
          <w:szCs w:val="32"/>
          <w:lang w:val="zh-CN"/>
        </w:rPr>
        <w:t>一月份</w:t>
      </w:r>
    </w:p>
    <w:p>
      <w:pPr>
        <w:tabs>
          <w:tab w:val="left" w:pos="2410"/>
        </w:tabs>
        <w:autoSpaceDE w:val="0"/>
        <w:autoSpaceDN w:val="0"/>
        <w:adjustRightInd w:val="0"/>
        <w:spacing w:line="560" w:lineRule="exact"/>
        <w:ind w:firstLine="640"/>
        <w:rPr>
          <w:rFonts w:ascii="仿宋" w:eastAsia="仿宋" w:cs="仿宋"/>
          <w:color w:val="000000"/>
          <w:kern w:val="0"/>
          <w:sz w:val="32"/>
          <w:szCs w:val="32"/>
          <w:lang w:val="zh-CN"/>
        </w:rPr>
      </w:pP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、审议市人大常委会工作报告（审议稿）</w:t>
      </w:r>
      <w:r>
        <w:rPr>
          <w:rFonts w:hint="eastAsia" w:ascii="仿宋_GB2312" w:eastAsia="仿宋_GB2312" w:cs="仿宋_GB2312"/>
          <w:color w:val="000000"/>
          <w:kern w:val="0"/>
          <w:sz w:val="32"/>
          <w:szCs w:val="32"/>
          <w:lang w:val="zh-CN"/>
        </w:rPr>
        <w:t>；</w:t>
      </w:r>
    </w:p>
    <w:p>
      <w:pPr>
        <w:tabs>
          <w:tab w:val="left" w:pos="2410"/>
        </w:tabs>
        <w:autoSpaceDE w:val="0"/>
        <w:autoSpaceDN w:val="0"/>
        <w:adjustRightInd w:val="0"/>
        <w:spacing w:line="560" w:lineRule="exact"/>
        <w:ind w:firstLine="640"/>
        <w:rPr>
          <w:rFonts w:ascii="仿宋_GB2312" w:eastAsia="仿宋_GB2312" w:cs="仿宋_GB2312"/>
          <w:color w:val="000000"/>
          <w:kern w:val="0"/>
          <w:sz w:val="32"/>
          <w:szCs w:val="32"/>
          <w:lang w:val="zh-CN"/>
        </w:rPr>
      </w:pP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、审议市十四届人大四次会议的相关文件（草案）</w:t>
      </w:r>
      <w:r>
        <w:rPr>
          <w:rFonts w:hint="eastAsia" w:ascii="仿宋_GB2312" w:eastAsia="仿宋_GB2312" w:cs="仿宋_GB2312"/>
          <w:color w:val="000000"/>
          <w:kern w:val="0"/>
          <w:sz w:val="32"/>
          <w:szCs w:val="32"/>
          <w:lang w:val="zh-CN"/>
        </w:rPr>
        <w:t>。</w:t>
      </w:r>
    </w:p>
    <w:p>
      <w:pPr>
        <w:autoSpaceDE w:val="0"/>
        <w:autoSpaceDN w:val="0"/>
        <w:adjustRightInd w:val="0"/>
        <w:spacing w:line="560" w:lineRule="exact"/>
        <w:rPr>
          <w:rFonts w:ascii="黑体" w:hAnsi="黑体" w:eastAsia="黑体" w:cs="仿宋"/>
          <w:bCs/>
          <w:color w:val="000000"/>
          <w:kern w:val="0"/>
          <w:sz w:val="32"/>
          <w:szCs w:val="32"/>
          <w:lang w:val="zh-CN"/>
        </w:rPr>
      </w:pPr>
      <w:r>
        <w:rPr>
          <w:rFonts w:hint="eastAsia" w:ascii="黑体" w:hAnsi="黑体" w:eastAsia="黑体" w:cs="仿宋"/>
          <w:bCs/>
          <w:color w:val="000000"/>
          <w:kern w:val="0"/>
          <w:sz w:val="32"/>
          <w:szCs w:val="32"/>
          <w:lang w:val="zh-CN"/>
        </w:rPr>
        <w:t>二月份</w:t>
      </w:r>
    </w:p>
    <w:p>
      <w:pPr>
        <w:tabs>
          <w:tab w:val="left" w:pos="2410"/>
        </w:tabs>
        <w:autoSpaceDE w:val="0"/>
        <w:autoSpaceDN w:val="0"/>
        <w:adjustRightInd w:val="0"/>
        <w:spacing w:line="560" w:lineRule="exact"/>
        <w:ind w:firstLine="640"/>
        <w:rPr>
          <w:rFonts w:ascii="仿宋" w:eastAsia="仿宋" w:cs="仿宋"/>
          <w:color w:val="000000"/>
          <w:kern w:val="0"/>
          <w:sz w:val="32"/>
          <w:szCs w:val="32"/>
          <w:lang w:val="zh-CN"/>
        </w:rPr>
      </w:pP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、审议</w:t>
      </w:r>
      <w:r>
        <w:rPr>
          <w:rFonts w:hint="eastAsia" w:ascii="仿宋_GB2312" w:eastAsia="仿宋_GB2312" w:cs="仿宋_GB2312"/>
          <w:color w:val="000000"/>
          <w:kern w:val="0"/>
          <w:sz w:val="32"/>
          <w:szCs w:val="32"/>
          <w:lang w:val="zh-CN"/>
        </w:rPr>
        <w:t>市人大常委会</w:t>
      </w:r>
      <w:r>
        <w:rPr>
          <w:rFonts w:ascii="仿宋_GB2312" w:eastAsia="仿宋_GB2312" w:cs="仿宋_GB2312"/>
          <w:color w:val="000000"/>
          <w:kern w:val="0"/>
          <w:sz w:val="32"/>
          <w:szCs w:val="32"/>
          <w:lang w:val="zh-CN"/>
        </w:rPr>
        <w:t>2019</w:t>
      </w:r>
      <w:r>
        <w:rPr>
          <w:rFonts w:hint="eastAsia" w:ascii="仿宋_GB2312" w:eastAsia="仿宋_GB2312" w:cs="仿宋_GB2312"/>
          <w:color w:val="000000"/>
          <w:kern w:val="0"/>
          <w:sz w:val="32"/>
          <w:szCs w:val="32"/>
          <w:lang w:val="zh-CN"/>
        </w:rPr>
        <w:t>年工作要点（草案）；</w:t>
      </w:r>
    </w:p>
    <w:p>
      <w:pPr>
        <w:tabs>
          <w:tab w:val="left" w:pos="2410"/>
        </w:tabs>
        <w:autoSpaceDE w:val="0"/>
        <w:autoSpaceDN w:val="0"/>
        <w:adjustRightInd w:val="0"/>
        <w:spacing w:line="560" w:lineRule="exact"/>
        <w:ind w:firstLine="640"/>
        <w:rPr>
          <w:rFonts w:ascii="仿宋" w:eastAsia="仿宋" w:cs="仿宋"/>
          <w:color w:val="000000"/>
          <w:kern w:val="0"/>
          <w:sz w:val="32"/>
          <w:szCs w:val="32"/>
          <w:lang w:val="zh-CN"/>
        </w:rPr>
      </w:pP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、人事任免事项。</w:t>
      </w:r>
    </w:p>
    <w:p>
      <w:pPr>
        <w:tabs>
          <w:tab w:val="left" w:pos="2410"/>
        </w:tabs>
        <w:autoSpaceDE w:val="0"/>
        <w:autoSpaceDN w:val="0"/>
        <w:adjustRightInd w:val="0"/>
        <w:spacing w:line="560" w:lineRule="exact"/>
        <w:rPr>
          <w:rFonts w:ascii="仿宋" w:eastAsia="仿宋" w:cs="仿宋"/>
          <w:color w:val="000000"/>
          <w:kern w:val="0"/>
          <w:sz w:val="32"/>
          <w:szCs w:val="32"/>
          <w:lang w:val="zh-CN"/>
        </w:rPr>
      </w:pPr>
      <w:r>
        <w:rPr>
          <w:rFonts w:hint="eastAsia" w:ascii="黑体" w:hAnsi="黑体" w:eastAsia="黑体" w:cs="仿宋"/>
          <w:bCs/>
          <w:color w:val="000000"/>
          <w:kern w:val="0"/>
          <w:sz w:val="32"/>
          <w:szCs w:val="32"/>
          <w:lang w:val="zh-CN"/>
        </w:rPr>
        <w:t>四月份</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hint="eastAsia" w:ascii="仿宋" w:eastAsia="仿宋" w:cs="仿宋"/>
          <w:color w:val="000000"/>
          <w:kern w:val="0"/>
          <w:sz w:val="32"/>
          <w:szCs w:val="32"/>
          <w:lang w:val="zh-CN"/>
        </w:rPr>
        <w:t>1、听取市政府法治政府建设情况的报告（书面）；</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hint="eastAsia" w:ascii="仿宋" w:eastAsia="仿宋" w:cs="仿宋"/>
          <w:color w:val="000000"/>
          <w:kern w:val="0"/>
          <w:sz w:val="32"/>
          <w:szCs w:val="32"/>
          <w:lang w:val="zh-CN"/>
        </w:rPr>
        <w:t>2、就推进市政府实施</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十项民生工程</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作出决议；</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、听取市政府关于开发区改革推进情况的报告，并形成审议意见；</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4</w:t>
      </w:r>
      <w:r>
        <w:rPr>
          <w:rFonts w:hint="eastAsia" w:ascii="仿宋" w:eastAsia="仿宋" w:cs="仿宋"/>
          <w:color w:val="000000"/>
          <w:kern w:val="0"/>
          <w:sz w:val="32"/>
          <w:szCs w:val="32"/>
          <w:lang w:val="zh-CN"/>
        </w:rPr>
        <w:t>、审议通过《关于建立预算审查前听取人大代表和社会各界意见建议机制的意见》（草案）。</w:t>
      </w:r>
    </w:p>
    <w:p>
      <w:pPr>
        <w:autoSpaceDE w:val="0"/>
        <w:autoSpaceDN w:val="0"/>
        <w:adjustRightInd w:val="0"/>
        <w:spacing w:line="560" w:lineRule="exact"/>
        <w:rPr>
          <w:rFonts w:ascii="黑体" w:hAnsi="黑体" w:eastAsia="黑体" w:cs="仿宋"/>
          <w:bCs/>
          <w:color w:val="000000"/>
          <w:kern w:val="0"/>
          <w:sz w:val="32"/>
          <w:szCs w:val="32"/>
          <w:lang w:val="zh-CN"/>
        </w:rPr>
      </w:pPr>
      <w:r>
        <w:rPr>
          <w:rFonts w:hint="eastAsia" w:ascii="黑体" w:hAnsi="黑体" w:eastAsia="黑体" w:cs="仿宋"/>
          <w:bCs/>
          <w:color w:val="000000"/>
          <w:kern w:val="0"/>
          <w:sz w:val="32"/>
          <w:szCs w:val="32"/>
          <w:lang w:val="zh-CN"/>
        </w:rPr>
        <w:t>六月份</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、听取市人民检察院行政执法与刑事司法衔接情况的工作报告，并形成审议意见；</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、听取市政府关于交通基础设施建设情况的报告，并形成审议意见；</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、听取市政府关于农田水利设施建设情况的报告，并进行工作评议</w:t>
      </w:r>
      <w:r>
        <w:rPr>
          <w:rFonts w:hint="eastAsia" w:ascii="仿宋" w:eastAsia="仿宋" w:cs="仿宋"/>
          <w:kern w:val="0"/>
          <w:sz w:val="32"/>
          <w:szCs w:val="32"/>
          <w:lang w:val="zh-CN"/>
        </w:rPr>
        <w:t>，</w:t>
      </w:r>
      <w:r>
        <w:rPr>
          <w:rFonts w:hint="eastAsia" w:ascii="仿宋" w:eastAsia="仿宋" w:cs="仿宋"/>
          <w:color w:val="000000"/>
          <w:kern w:val="0"/>
          <w:sz w:val="32"/>
          <w:szCs w:val="32"/>
          <w:lang w:val="zh-CN"/>
        </w:rPr>
        <w:t>形成评议意见；</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4</w:t>
      </w:r>
      <w:r>
        <w:rPr>
          <w:rFonts w:hint="eastAsia" w:ascii="仿宋" w:eastAsia="仿宋" w:cs="仿宋"/>
          <w:color w:val="000000"/>
          <w:kern w:val="0"/>
          <w:sz w:val="32"/>
          <w:szCs w:val="32"/>
          <w:lang w:val="zh-CN"/>
        </w:rPr>
        <w:t>、听取市政府</w:t>
      </w:r>
      <w:r>
        <w:rPr>
          <w:rFonts w:ascii="仿宋" w:eastAsia="仿宋" w:cs="仿宋"/>
          <w:color w:val="000000"/>
          <w:kern w:val="0"/>
          <w:sz w:val="32"/>
          <w:szCs w:val="32"/>
          <w:lang w:val="zh-CN"/>
        </w:rPr>
        <w:t>2018</w:t>
      </w:r>
      <w:r>
        <w:rPr>
          <w:rFonts w:hint="eastAsia" w:ascii="仿宋" w:eastAsia="仿宋" w:cs="仿宋"/>
          <w:color w:val="000000"/>
          <w:kern w:val="0"/>
          <w:sz w:val="32"/>
          <w:szCs w:val="32"/>
          <w:lang w:val="zh-CN"/>
        </w:rPr>
        <w:t>年度环境质量状况和环境保护目标完成情况的报告；</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、听取市政府关于贯彻落实《中华人民共和国食品安全法》情况的报告，并形成审议意见</w:t>
      </w:r>
      <w:r>
        <w:rPr>
          <w:rFonts w:ascii="仿宋" w:eastAsia="仿宋" w:cs="仿宋"/>
          <w:color w:val="000000"/>
          <w:kern w:val="0"/>
          <w:sz w:val="32"/>
          <w:szCs w:val="32"/>
          <w:lang w:val="zh-CN"/>
        </w:rPr>
        <w:t>;</w:t>
      </w:r>
    </w:p>
    <w:p>
      <w:pPr>
        <w:tabs>
          <w:tab w:val="left" w:pos="2410"/>
        </w:tabs>
        <w:autoSpaceDE w:val="0"/>
        <w:autoSpaceDN w:val="0"/>
        <w:adjustRightInd w:val="0"/>
        <w:spacing w:line="560" w:lineRule="exact"/>
        <w:ind w:firstLine="640"/>
        <w:rPr>
          <w:rFonts w:ascii="仿宋" w:eastAsia="仿宋" w:cs="仿宋"/>
          <w:kern w:val="0"/>
          <w:sz w:val="32"/>
          <w:szCs w:val="32"/>
          <w:lang w:val="zh-CN"/>
        </w:rPr>
      </w:pPr>
      <w:r>
        <w:rPr>
          <w:rFonts w:ascii="仿宋" w:eastAsia="仿宋" w:cs="仿宋"/>
          <w:color w:val="000000"/>
          <w:kern w:val="0"/>
          <w:sz w:val="32"/>
          <w:szCs w:val="32"/>
          <w:lang w:val="zh-CN"/>
        </w:rPr>
        <w:t>6</w:t>
      </w:r>
      <w:r>
        <w:rPr>
          <w:rFonts w:hint="eastAsia" w:ascii="仿宋" w:eastAsia="仿宋" w:cs="仿宋"/>
          <w:color w:val="000000"/>
          <w:kern w:val="0"/>
          <w:sz w:val="32"/>
          <w:szCs w:val="32"/>
          <w:lang w:val="zh-CN"/>
        </w:rPr>
        <w:t>、</w:t>
      </w:r>
      <w:r>
        <w:rPr>
          <w:rFonts w:hint="eastAsia" w:ascii="仿宋" w:eastAsia="仿宋" w:cs="仿宋"/>
          <w:kern w:val="0"/>
          <w:sz w:val="32"/>
          <w:szCs w:val="32"/>
          <w:lang w:val="zh-CN"/>
        </w:rPr>
        <w:t>对《承德市城市供热管理条例》进行初审。</w:t>
      </w:r>
    </w:p>
    <w:p>
      <w:pPr>
        <w:autoSpaceDE w:val="0"/>
        <w:autoSpaceDN w:val="0"/>
        <w:adjustRightInd w:val="0"/>
        <w:spacing w:line="560" w:lineRule="exact"/>
        <w:rPr>
          <w:rFonts w:ascii="黑体" w:hAnsi="黑体" w:eastAsia="黑体" w:cs="仿宋"/>
          <w:bCs/>
          <w:color w:val="000000"/>
          <w:kern w:val="0"/>
          <w:sz w:val="32"/>
          <w:szCs w:val="32"/>
          <w:lang w:val="zh-CN"/>
        </w:rPr>
      </w:pPr>
      <w:r>
        <w:rPr>
          <w:rFonts w:hint="eastAsia" w:ascii="黑体" w:hAnsi="黑体" w:eastAsia="黑体" w:cs="仿宋"/>
          <w:bCs/>
          <w:color w:val="000000"/>
          <w:kern w:val="0"/>
          <w:sz w:val="32"/>
          <w:szCs w:val="32"/>
          <w:lang w:val="zh-CN"/>
        </w:rPr>
        <w:t>八月份</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、听取市中级人民法院关于民事审判工作情况的报告，并形成审议意见；</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、听取市政府关于</w:t>
      </w:r>
      <w:r>
        <w:rPr>
          <w:rFonts w:ascii="仿宋" w:eastAsia="仿宋" w:cs="仿宋"/>
          <w:color w:val="000000"/>
          <w:kern w:val="0"/>
          <w:sz w:val="32"/>
          <w:szCs w:val="32"/>
          <w:lang w:val="zh-CN"/>
        </w:rPr>
        <w:t>2019</w:t>
      </w:r>
      <w:r>
        <w:rPr>
          <w:rFonts w:hint="eastAsia" w:ascii="仿宋" w:eastAsia="仿宋" w:cs="仿宋"/>
          <w:color w:val="000000"/>
          <w:kern w:val="0"/>
          <w:sz w:val="32"/>
          <w:szCs w:val="32"/>
          <w:lang w:val="zh-CN"/>
        </w:rPr>
        <w:t>年国民经济和社会发展计划上半年执行情况的汇报；（书面）</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、听取市政府关于</w:t>
      </w:r>
      <w:r>
        <w:rPr>
          <w:rFonts w:ascii="仿宋" w:eastAsia="仿宋" w:cs="仿宋"/>
          <w:color w:val="000000"/>
          <w:kern w:val="0"/>
          <w:sz w:val="32"/>
          <w:szCs w:val="32"/>
          <w:lang w:val="zh-CN"/>
        </w:rPr>
        <w:t>2019</w:t>
      </w:r>
      <w:r>
        <w:rPr>
          <w:rFonts w:hint="eastAsia" w:ascii="仿宋" w:eastAsia="仿宋" w:cs="仿宋"/>
          <w:color w:val="000000"/>
          <w:kern w:val="0"/>
          <w:sz w:val="32"/>
          <w:szCs w:val="32"/>
          <w:lang w:val="zh-CN"/>
        </w:rPr>
        <w:t>年市本级预算上半年执行情况的汇报；（书面）</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4</w:t>
      </w:r>
      <w:r>
        <w:rPr>
          <w:rFonts w:hint="eastAsia" w:ascii="仿宋" w:eastAsia="仿宋" w:cs="仿宋"/>
          <w:color w:val="000000"/>
          <w:kern w:val="0"/>
          <w:sz w:val="32"/>
          <w:szCs w:val="32"/>
          <w:lang w:val="zh-CN"/>
        </w:rPr>
        <w:t>、听取和审议市政府关于</w:t>
      </w:r>
      <w:r>
        <w:rPr>
          <w:rFonts w:ascii="仿宋" w:eastAsia="仿宋" w:cs="仿宋"/>
          <w:color w:val="000000"/>
          <w:kern w:val="0"/>
          <w:sz w:val="32"/>
          <w:szCs w:val="32"/>
          <w:lang w:val="zh-CN"/>
        </w:rPr>
        <w:t>2018</w:t>
      </w:r>
      <w:r>
        <w:rPr>
          <w:rFonts w:hint="eastAsia" w:ascii="仿宋" w:eastAsia="仿宋" w:cs="仿宋"/>
          <w:color w:val="000000"/>
          <w:kern w:val="0"/>
          <w:sz w:val="32"/>
          <w:szCs w:val="32"/>
          <w:lang w:val="zh-CN"/>
        </w:rPr>
        <w:t>年市本级决算和市总决算情况的报告，并作出决议；听取和审议市政府关于</w:t>
      </w:r>
      <w:r>
        <w:rPr>
          <w:rFonts w:ascii="仿宋" w:eastAsia="仿宋" w:cs="仿宋"/>
          <w:color w:val="000000"/>
          <w:kern w:val="0"/>
          <w:sz w:val="32"/>
          <w:szCs w:val="32"/>
          <w:lang w:val="zh-CN"/>
        </w:rPr>
        <w:t>2018</w:t>
      </w:r>
      <w:r>
        <w:rPr>
          <w:rFonts w:hint="eastAsia" w:ascii="仿宋" w:eastAsia="仿宋" w:cs="仿宋"/>
          <w:color w:val="000000"/>
          <w:kern w:val="0"/>
          <w:sz w:val="32"/>
          <w:szCs w:val="32"/>
          <w:lang w:val="zh-CN"/>
        </w:rPr>
        <w:t>年度市本级预算执行和其他财政收支情况的审计工作报告，并形成审议意见或作出相关决议；</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、听取市政府关于</w:t>
      </w:r>
      <w:r>
        <w:rPr>
          <w:rFonts w:ascii="仿宋" w:eastAsia="仿宋" w:cs="仿宋"/>
          <w:color w:val="000000"/>
          <w:kern w:val="0"/>
          <w:sz w:val="32"/>
          <w:szCs w:val="32"/>
          <w:lang w:val="zh-CN"/>
        </w:rPr>
        <w:t>2018</w:t>
      </w:r>
      <w:r>
        <w:rPr>
          <w:rFonts w:hint="eastAsia" w:ascii="仿宋" w:eastAsia="仿宋" w:cs="仿宋"/>
          <w:color w:val="000000"/>
          <w:kern w:val="0"/>
          <w:sz w:val="32"/>
          <w:szCs w:val="32"/>
          <w:lang w:val="zh-CN"/>
        </w:rPr>
        <w:t>年全市及市本级国有资产管理情况的报告（书面）；听取和审议市政府关于</w:t>
      </w:r>
      <w:r>
        <w:rPr>
          <w:rFonts w:ascii="仿宋" w:eastAsia="仿宋" w:cs="仿宋"/>
          <w:color w:val="000000"/>
          <w:kern w:val="0"/>
          <w:sz w:val="32"/>
          <w:szCs w:val="32"/>
          <w:lang w:val="zh-CN"/>
        </w:rPr>
        <w:t>2018</w:t>
      </w:r>
      <w:r>
        <w:rPr>
          <w:rFonts w:hint="eastAsia" w:ascii="仿宋" w:eastAsia="仿宋" w:cs="仿宋"/>
          <w:color w:val="000000"/>
          <w:kern w:val="0"/>
          <w:sz w:val="32"/>
          <w:szCs w:val="32"/>
          <w:lang w:val="zh-CN"/>
        </w:rPr>
        <w:t>年行政事业单位国有资产管理情况的专项报告，并形成审议意见；</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6</w:t>
      </w:r>
      <w:r>
        <w:rPr>
          <w:rFonts w:hint="eastAsia" w:ascii="仿宋" w:eastAsia="仿宋" w:cs="仿宋"/>
          <w:color w:val="000000"/>
          <w:kern w:val="0"/>
          <w:sz w:val="32"/>
          <w:szCs w:val="32"/>
          <w:lang w:val="zh-CN"/>
        </w:rPr>
        <w:t>、对《承德市城市供热管理条例》进行二审；</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7</w:t>
      </w:r>
      <w:r>
        <w:rPr>
          <w:rFonts w:hint="eastAsia" w:ascii="仿宋" w:eastAsia="仿宋" w:cs="仿宋"/>
          <w:color w:val="000000"/>
          <w:kern w:val="0"/>
          <w:sz w:val="32"/>
          <w:szCs w:val="32"/>
          <w:lang w:val="zh-CN"/>
        </w:rPr>
        <w:t>、对《承德市物业管理条例》进行初审。</w:t>
      </w:r>
    </w:p>
    <w:p>
      <w:pPr>
        <w:autoSpaceDE w:val="0"/>
        <w:autoSpaceDN w:val="0"/>
        <w:adjustRightInd w:val="0"/>
        <w:spacing w:line="560" w:lineRule="exact"/>
        <w:rPr>
          <w:rFonts w:ascii="黑体" w:hAnsi="黑体" w:eastAsia="黑体" w:cs="仿宋"/>
          <w:bCs/>
          <w:color w:val="000000"/>
          <w:kern w:val="0"/>
          <w:sz w:val="32"/>
          <w:szCs w:val="32"/>
          <w:lang w:val="zh-CN"/>
        </w:rPr>
      </w:pPr>
      <w:r>
        <w:rPr>
          <w:rFonts w:hint="eastAsia" w:ascii="黑体" w:hAnsi="黑体" w:eastAsia="黑体" w:cs="仿宋"/>
          <w:bCs/>
          <w:color w:val="000000"/>
          <w:kern w:val="0"/>
          <w:sz w:val="32"/>
          <w:szCs w:val="32"/>
          <w:lang w:val="zh-CN"/>
        </w:rPr>
        <w:t>十月份</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、听取市政府关于贯彻落实《中华人民共和国水污染防治法》和《河北省水污染防治条例》、开展水污染防治工作的报告，开展专题询问，并作出决议或形成审议意见；</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、听取市政府脱贫攻坚工作情况的报告，并形成审议意见。</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、听取市政府关于贯彻落实《中华人民共和国传染病防治法》和《中华人民共和国传染病防治法实施办法》情况的报告并进行工作评议，形成评议意见；</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4</w:t>
      </w:r>
      <w:r>
        <w:rPr>
          <w:rFonts w:hint="eastAsia" w:ascii="仿宋" w:eastAsia="仿宋" w:cs="仿宋"/>
          <w:color w:val="000000"/>
          <w:kern w:val="0"/>
          <w:sz w:val="32"/>
          <w:szCs w:val="32"/>
          <w:lang w:val="zh-CN"/>
        </w:rPr>
        <w:t>、听取市政府关于贯彻落实国务院《宗教事务条例》和《河北省宗教事务条例》情况的报告，并形成审议意见；</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、对部分法官、检察官</w:t>
      </w:r>
      <w:r>
        <w:rPr>
          <w:rFonts w:ascii="仿宋" w:eastAsia="仿宋" w:cs="仿宋"/>
          <w:color w:val="000000"/>
          <w:kern w:val="0"/>
          <w:sz w:val="32"/>
          <w:szCs w:val="32"/>
          <w:lang w:val="zh-CN"/>
        </w:rPr>
        <w:t>2018</w:t>
      </w:r>
      <w:r>
        <w:rPr>
          <w:rFonts w:hint="eastAsia" w:ascii="仿宋" w:eastAsia="仿宋" w:cs="仿宋"/>
          <w:color w:val="000000"/>
          <w:kern w:val="0"/>
          <w:sz w:val="32"/>
          <w:szCs w:val="32"/>
          <w:lang w:val="zh-CN"/>
        </w:rPr>
        <w:t>年度履职情况进行评议。</w:t>
      </w:r>
    </w:p>
    <w:p>
      <w:pPr>
        <w:autoSpaceDE w:val="0"/>
        <w:autoSpaceDN w:val="0"/>
        <w:adjustRightInd w:val="0"/>
        <w:spacing w:line="560" w:lineRule="exact"/>
        <w:rPr>
          <w:rFonts w:ascii="黑体" w:hAnsi="黑体" w:eastAsia="黑体" w:cs="仿宋"/>
          <w:bCs/>
          <w:color w:val="000000"/>
          <w:kern w:val="0"/>
          <w:sz w:val="32"/>
          <w:szCs w:val="32"/>
          <w:lang w:val="zh-CN"/>
        </w:rPr>
      </w:pPr>
      <w:r>
        <w:rPr>
          <w:rFonts w:hint="eastAsia" w:ascii="黑体" w:hAnsi="黑体" w:eastAsia="黑体" w:cs="仿宋"/>
          <w:bCs/>
          <w:color w:val="000000"/>
          <w:kern w:val="0"/>
          <w:sz w:val="32"/>
          <w:szCs w:val="32"/>
          <w:lang w:val="zh-CN"/>
        </w:rPr>
        <w:t>十二月份</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1</w:t>
      </w:r>
      <w:r>
        <w:rPr>
          <w:rFonts w:hint="eastAsia" w:ascii="仿宋" w:eastAsia="仿宋" w:cs="仿宋"/>
          <w:color w:val="000000"/>
          <w:kern w:val="0"/>
          <w:sz w:val="32"/>
          <w:szCs w:val="32"/>
          <w:lang w:val="zh-CN"/>
        </w:rPr>
        <w:t>、听取市政府关于落实市人大常委会推进实施</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十项民生工程</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决议情况的报告；</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2</w:t>
      </w:r>
      <w:r>
        <w:rPr>
          <w:rFonts w:hint="eastAsia" w:ascii="仿宋" w:eastAsia="仿宋" w:cs="仿宋"/>
          <w:color w:val="000000"/>
          <w:kern w:val="0"/>
          <w:sz w:val="32"/>
          <w:szCs w:val="32"/>
          <w:lang w:val="zh-CN"/>
        </w:rPr>
        <w:t>、听取市政府关于市十四届人大四次会议以来代表建议办</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hint="eastAsia" w:ascii="仿宋" w:eastAsia="仿宋" w:cs="仿宋"/>
          <w:color w:val="000000"/>
          <w:kern w:val="0"/>
          <w:sz w:val="32"/>
          <w:szCs w:val="32"/>
          <w:lang w:val="zh-CN"/>
        </w:rPr>
        <w:t>理情况的报告；</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、听取市政府关于</w:t>
      </w:r>
      <w:r>
        <w:rPr>
          <w:rFonts w:ascii="仿宋" w:eastAsia="仿宋" w:cs="仿宋"/>
          <w:color w:val="000000"/>
          <w:kern w:val="0"/>
          <w:sz w:val="32"/>
          <w:szCs w:val="32"/>
          <w:lang w:val="zh-CN"/>
        </w:rPr>
        <w:t>2018</w:t>
      </w:r>
      <w:r>
        <w:rPr>
          <w:rFonts w:hint="eastAsia" w:ascii="仿宋" w:eastAsia="仿宋" w:cs="仿宋"/>
          <w:color w:val="000000"/>
          <w:kern w:val="0"/>
          <w:sz w:val="32"/>
          <w:szCs w:val="32"/>
          <w:lang w:val="zh-CN"/>
        </w:rPr>
        <w:t>年度市本级预算执行和其他财政收支审计查出的突出问题整改情况的报告；</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4</w:t>
      </w:r>
      <w:r>
        <w:rPr>
          <w:rFonts w:hint="eastAsia" w:ascii="仿宋" w:eastAsia="仿宋" w:cs="仿宋"/>
          <w:color w:val="000000"/>
          <w:kern w:val="0"/>
          <w:sz w:val="32"/>
          <w:szCs w:val="32"/>
          <w:lang w:val="zh-CN"/>
        </w:rPr>
        <w:t>、对《承德市物业管理条例》进行二审；</w:t>
      </w:r>
    </w:p>
    <w:p>
      <w:pPr>
        <w:tabs>
          <w:tab w:val="left" w:pos="2410"/>
        </w:tabs>
        <w:autoSpaceDE w:val="0"/>
        <w:autoSpaceDN w:val="0"/>
        <w:adjustRightInd w:val="0"/>
        <w:spacing w:line="560" w:lineRule="exact"/>
        <w:ind w:firstLine="640" w:firstLineChars="200"/>
        <w:rPr>
          <w:rFonts w:ascii="仿宋" w:eastAsia="仿宋" w:cs="仿宋"/>
          <w:color w:val="000000"/>
          <w:kern w:val="0"/>
          <w:sz w:val="32"/>
          <w:szCs w:val="32"/>
          <w:lang w:val="zh-CN"/>
        </w:rPr>
      </w:pP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、对《承德市工业遗产保护与利用条例》进行初审。</w:t>
      </w:r>
    </w:p>
    <w:p>
      <w:pPr>
        <w:autoSpaceDE w:val="0"/>
        <w:autoSpaceDN w:val="0"/>
        <w:adjustRightInd w:val="0"/>
        <w:spacing w:line="560" w:lineRule="exact"/>
        <w:rPr>
          <w:rFonts w:ascii="黑体" w:hAnsi="黑体" w:eastAsia="黑体" w:cs="仿宋"/>
          <w:bCs/>
          <w:color w:val="000000"/>
          <w:kern w:val="0"/>
          <w:sz w:val="32"/>
          <w:szCs w:val="32"/>
          <w:lang w:val="zh-CN"/>
        </w:rPr>
      </w:pPr>
      <w:r>
        <w:rPr>
          <w:rFonts w:hint="eastAsia" w:ascii="黑体" w:hAnsi="黑体" w:eastAsia="黑体" w:cs="仿宋"/>
          <w:bCs/>
          <w:color w:val="000000"/>
          <w:kern w:val="0"/>
          <w:sz w:val="32"/>
          <w:szCs w:val="32"/>
          <w:lang w:val="zh-CN"/>
        </w:rPr>
        <w:t>注：议题如需调整，由主任会议决定。</w:t>
      </w:r>
    </w:p>
    <w:p>
      <w:pPr>
        <w:autoSpaceDE w:val="0"/>
        <w:autoSpaceDN w:val="0"/>
        <w:adjustRightInd w:val="0"/>
        <w:rPr>
          <w:rFonts w:ascii="仿宋" w:eastAsia="仿宋" w:cs="仿宋"/>
          <w:b/>
          <w:bCs/>
          <w:color w:val="000000"/>
          <w:kern w:val="0"/>
          <w:sz w:val="32"/>
          <w:szCs w:val="32"/>
          <w:lang w:val="zh-CN"/>
        </w:rPr>
      </w:pPr>
    </w:p>
    <w:p>
      <w:pPr>
        <w:autoSpaceDE w:val="0"/>
        <w:autoSpaceDN w:val="0"/>
        <w:adjustRightInd w:val="0"/>
        <w:jc w:val="center"/>
        <w:rPr>
          <w:rFonts w:ascii="宋体" w:hAnsi="宋体"/>
          <w:b/>
          <w:color w:val="000000"/>
          <w:kern w:val="0"/>
          <w:sz w:val="44"/>
          <w:szCs w:val="44"/>
          <w:lang w:val="zh-CN"/>
        </w:rPr>
      </w:pPr>
      <w:r>
        <w:rPr>
          <w:rFonts w:ascii="宋体" w:hAnsi="宋体"/>
          <w:b/>
          <w:color w:val="000000"/>
          <w:kern w:val="0"/>
          <w:sz w:val="44"/>
          <w:szCs w:val="44"/>
          <w:lang w:val="zh-CN"/>
        </w:rPr>
        <w:t>2019</w:t>
      </w:r>
      <w:r>
        <w:rPr>
          <w:rFonts w:hint="eastAsia" w:ascii="宋体" w:hAnsi="宋体"/>
          <w:b/>
          <w:color w:val="000000"/>
          <w:kern w:val="0"/>
          <w:sz w:val="44"/>
          <w:szCs w:val="44"/>
          <w:lang w:val="zh-CN"/>
        </w:rPr>
        <w:t>年市人大常委会视察检查调研计划</w:t>
      </w:r>
    </w:p>
    <w:p>
      <w:pPr>
        <w:autoSpaceDE w:val="0"/>
        <w:autoSpaceDN w:val="0"/>
        <w:adjustRightInd w:val="0"/>
        <w:jc w:val="center"/>
        <w:rPr>
          <w:rFonts w:ascii="宋体" w:hAnsi="宋体"/>
          <w:b/>
          <w:color w:val="000000"/>
          <w:kern w:val="0"/>
          <w:sz w:val="44"/>
          <w:szCs w:val="44"/>
          <w:lang w:val="zh-CN"/>
        </w:rPr>
      </w:pPr>
    </w:p>
    <w:tbl>
      <w:tblPr>
        <w:tblStyle w:val="4"/>
        <w:tblW w:w="0" w:type="auto"/>
        <w:jc w:val="center"/>
        <w:tblLayout w:type="fixed"/>
        <w:tblCellMar>
          <w:top w:w="0" w:type="dxa"/>
          <w:left w:w="0" w:type="dxa"/>
          <w:bottom w:w="0" w:type="dxa"/>
          <w:right w:w="0" w:type="dxa"/>
        </w:tblCellMar>
      </w:tblPr>
      <w:tblGrid>
        <w:gridCol w:w="2207"/>
        <w:gridCol w:w="992"/>
        <w:gridCol w:w="9377"/>
      </w:tblGrid>
      <w:tr>
        <w:tblPrEx>
          <w:tblCellMar>
            <w:top w:w="0" w:type="dxa"/>
            <w:left w:w="0" w:type="dxa"/>
            <w:bottom w:w="0" w:type="dxa"/>
            <w:right w:w="0" w:type="dxa"/>
          </w:tblCellMar>
        </w:tblPrEx>
        <w:trPr>
          <w:trHeight w:val="669" w:hRule="atLeast"/>
          <w:jc w:val="center"/>
        </w:trPr>
        <w:tc>
          <w:tcPr>
            <w:tcW w:w="220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黑体" w:hAnsi="黑体" w:eastAsia="黑体" w:cs="宋体"/>
                <w:kern w:val="0"/>
                <w:sz w:val="22"/>
                <w:lang w:val="zh-CN"/>
              </w:rPr>
            </w:pPr>
            <w:r>
              <w:rPr>
                <w:rFonts w:hint="eastAsia" w:ascii="黑体" w:hAnsi="黑体" w:eastAsia="黑体" w:cs="仿宋"/>
                <w:color w:val="000000"/>
                <w:kern w:val="0"/>
                <w:sz w:val="32"/>
                <w:szCs w:val="32"/>
                <w:lang w:val="zh-CN"/>
              </w:rPr>
              <w:t>工作部门</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黑体" w:hAnsi="黑体" w:eastAsia="黑体" w:cs="宋体"/>
                <w:kern w:val="0"/>
                <w:sz w:val="22"/>
                <w:lang w:val="zh-CN"/>
              </w:rPr>
            </w:pPr>
            <w:r>
              <w:rPr>
                <w:rFonts w:hint="eastAsia" w:ascii="黑体" w:hAnsi="黑体" w:eastAsia="黑体" w:cs="仿宋"/>
                <w:color w:val="000000"/>
                <w:kern w:val="0"/>
                <w:sz w:val="32"/>
                <w:szCs w:val="32"/>
                <w:lang w:val="zh-CN"/>
              </w:rPr>
              <w:t>时 间</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黑体" w:hAnsi="黑体" w:eastAsia="黑体" w:cs="宋体"/>
                <w:kern w:val="0"/>
                <w:sz w:val="22"/>
                <w:lang w:val="zh-CN"/>
              </w:rPr>
            </w:pPr>
            <w:r>
              <w:rPr>
                <w:rFonts w:hint="eastAsia" w:ascii="黑体" w:hAnsi="黑体" w:eastAsia="黑体" w:cs="仿宋"/>
                <w:color w:val="000000"/>
                <w:kern w:val="0"/>
                <w:sz w:val="32"/>
                <w:szCs w:val="32"/>
                <w:lang w:val="zh-CN"/>
              </w:rPr>
              <w:t>内          容</w:t>
            </w:r>
          </w:p>
        </w:tc>
      </w:tr>
      <w:tr>
        <w:tblPrEx>
          <w:tblCellMar>
            <w:top w:w="0" w:type="dxa"/>
            <w:left w:w="0" w:type="dxa"/>
            <w:bottom w:w="0" w:type="dxa"/>
            <w:right w:w="0" w:type="dxa"/>
          </w:tblCellMar>
        </w:tblPrEx>
        <w:trPr>
          <w:trHeight w:val="778" w:hRule="atLeast"/>
          <w:jc w:val="center"/>
        </w:trPr>
        <w:tc>
          <w:tcPr>
            <w:tcW w:w="220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仿宋" w:eastAsia="仿宋" w:cs="仿宋"/>
                <w:b/>
                <w:color w:val="000000"/>
                <w:kern w:val="0"/>
                <w:sz w:val="32"/>
                <w:szCs w:val="32"/>
                <w:lang w:val="zh-CN"/>
              </w:rPr>
            </w:pPr>
            <w:r>
              <w:rPr>
                <w:rFonts w:hint="eastAsia" w:ascii="仿宋" w:eastAsia="仿宋" w:cs="仿宋"/>
                <w:b/>
                <w:color w:val="000000"/>
                <w:kern w:val="0"/>
                <w:sz w:val="32"/>
                <w:szCs w:val="32"/>
                <w:lang w:val="zh-CN"/>
              </w:rPr>
              <w:t>监察和司法</w:t>
            </w:r>
          </w:p>
          <w:p>
            <w:pPr>
              <w:autoSpaceDE w:val="0"/>
              <w:autoSpaceDN w:val="0"/>
              <w:adjustRightInd w:val="0"/>
              <w:spacing w:line="500" w:lineRule="atLeast"/>
              <w:jc w:val="center"/>
              <w:rPr>
                <w:rFonts w:ascii="仿宋" w:eastAsia="仿宋" w:cs="仿宋"/>
                <w:b/>
                <w:color w:val="000000"/>
                <w:kern w:val="0"/>
                <w:sz w:val="32"/>
                <w:szCs w:val="32"/>
                <w:lang w:val="zh-CN"/>
              </w:rPr>
            </w:pPr>
            <w:r>
              <w:rPr>
                <w:rFonts w:hint="eastAsia" w:ascii="仿宋" w:eastAsia="仿宋" w:cs="仿宋"/>
                <w:b/>
                <w:color w:val="000000"/>
                <w:kern w:val="0"/>
                <w:sz w:val="32"/>
                <w:szCs w:val="32"/>
                <w:lang w:val="zh-CN"/>
              </w:rPr>
              <w:t>工作委员会</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宋体" w:cs="宋体"/>
                <w:kern w:val="0"/>
                <w:sz w:val="22"/>
                <w:lang w:val="zh-CN"/>
              </w:rPr>
            </w:pPr>
            <w:r>
              <w:rPr>
                <w:rFonts w:hint="eastAsia" w:ascii="仿宋" w:eastAsia="仿宋" w:cs="仿宋"/>
                <w:color w:val="000000"/>
                <w:kern w:val="0"/>
                <w:sz w:val="32"/>
                <w:szCs w:val="32"/>
                <w:lang w:val="zh-CN"/>
              </w:rPr>
              <w:t>对市人民检察院行政执法与刑事司法衔接工作情况进行视察</w:t>
            </w:r>
          </w:p>
        </w:tc>
      </w:tr>
      <w:tr>
        <w:tblPrEx>
          <w:tblCellMar>
            <w:top w:w="0" w:type="dxa"/>
            <w:left w:w="0" w:type="dxa"/>
            <w:bottom w:w="0" w:type="dxa"/>
            <w:right w:w="0" w:type="dxa"/>
          </w:tblCellMar>
        </w:tblPrEx>
        <w:trPr>
          <w:trHeight w:val="737"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b/>
                <w:kern w:val="0"/>
                <w:sz w:val="22"/>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7</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宋体" w:cs="宋体"/>
                <w:kern w:val="0"/>
                <w:sz w:val="22"/>
                <w:lang w:val="zh-CN"/>
              </w:rPr>
            </w:pPr>
            <w:r>
              <w:rPr>
                <w:rFonts w:hint="eastAsia" w:ascii="仿宋" w:eastAsia="仿宋" w:cs="仿宋"/>
                <w:color w:val="000000"/>
                <w:kern w:val="0"/>
                <w:sz w:val="32"/>
                <w:szCs w:val="32"/>
                <w:lang w:val="zh-CN"/>
              </w:rPr>
              <w:t>对市中级人民法院民事审判工作情况进行视察</w:t>
            </w:r>
          </w:p>
        </w:tc>
      </w:tr>
      <w:tr>
        <w:tblPrEx>
          <w:tblCellMar>
            <w:top w:w="0" w:type="dxa"/>
            <w:left w:w="0" w:type="dxa"/>
            <w:bottom w:w="0" w:type="dxa"/>
            <w:right w:w="0" w:type="dxa"/>
          </w:tblCellMar>
        </w:tblPrEx>
        <w:trPr>
          <w:trHeight w:val="452" w:hRule="atLeast"/>
          <w:jc w:val="center"/>
        </w:trPr>
        <w:tc>
          <w:tcPr>
            <w:tcW w:w="220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仿宋" w:eastAsia="仿宋" w:cs="仿宋"/>
                <w:b/>
                <w:color w:val="000000"/>
                <w:kern w:val="0"/>
                <w:sz w:val="32"/>
                <w:szCs w:val="32"/>
                <w:lang w:val="zh-CN"/>
              </w:rPr>
            </w:pPr>
            <w:r>
              <w:rPr>
                <w:rFonts w:hint="eastAsia" w:ascii="仿宋" w:eastAsia="仿宋" w:cs="仿宋"/>
                <w:b/>
                <w:color w:val="000000"/>
                <w:kern w:val="0"/>
                <w:sz w:val="32"/>
                <w:szCs w:val="32"/>
                <w:lang w:val="zh-CN"/>
              </w:rPr>
              <w:t>财政经济</w:t>
            </w:r>
          </w:p>
          <w:p>
            <w:pPr>
              <w:autoSpaceDE w:val="0"/>
              <w:autoSpaceDN w:val="0"/>
              <w:adjustRightInd w:val="0"/>
              <w:spacing w:line="500" w:lineRule="atLeast"/>
              <w:jc w:val="center"/>
              <w:rPr>
                <w:rFonts w:ascii="仿宋" w:eastAsia="仿宋" w:cs="仿宋"/>
                <w:b/>
                <w:color w:val="000000"/>
                <w:kern w:val="0"/>
                <w:sz w:val="32"/>
                <w:szCs w:val="32"/>
                <w:lang w:val="zh-CN"/>
              </w:rPr>
            </w:pPr>
            <w:r>
              <w:rPr>
                <w:rFonts w:hint="eastAsia" w:ascii="仿宋" w:eastAsia="仿宋" w:cs="仿宋"/>
                <w:b/>
                <w:color w:val="000000"/>
                <w:kern w:val="0"/>
                <w:sz w:val="32"/>
                <w:szCs w:val="32"/>
                <w:lang w:val="zh-CN"/>
              </w:rPr>
              <w:t>工作委员会</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3</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宋体" w:cs="宋体"/>
                <w:kern w:val="0"/>
                <w:sz w:val="22"/>
                <w:lang w:val="zh-CN"/>
              </w:rPr>
            </w:pPr>
            <w:r>
              <w:rPr>
                <w:rFonts w:hint="eastAsia" w:ascii="仿宋" w:eastAsia="仿宋" w:cs="仿宋"/>
                <w:color w:val="000000"/>
                <w:kern w:val="0"/>
                <w:sz w:val="32"/>
                <w:szCs w:val="32"/>
                <w:lang w:val="zh-CN"/>
              </w:rPr>
              <w:t>对市政府开发区改革推进情况进行视察</w:t>
            </w:r>
          </w:p>
        </w:tc>
      </w:tr>
      <w:tr>
        <w:tblPrEx>
          <w:tblCellMar>
            <w:top w:w="0" w:type="dxa"/>
            <w:left w:w="0" w:type="dxa"/>
            <w:bottom w:w="0" w:type="dxa"/>
            <w:right w:w="0" w:type="dxa"/>
          </w:tblCellMar>
        </w:tblPrEx>
        <w:trPr>
          <w:trHeight w:val="429"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b/>
                <w:kern w:val="0"/>
                <w:sz w:val="22"/>
                <w:lang w:val="zh-CN"/>
              </w:rPr>
            </w:pPr>
          </w:p>
        </w:tc>
        <w:tc>
          <w:tcPr>
            <w:tcW w:w="9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2"/>
                <w:szCs w:val="32"/>
                <w:lang w:val="zh-CN"/>
              </w:rPr>
            </w:pPr>
            <w:r>
              <w:rPr>
                <w:rFonts w:hint="eastAsia" w:ascii="仿宋" w:eastAsia="仿宋" w:cs="仿宋"/>
                <w:color w:val="000000"/>
                <w:kern w:val="0"/>
                <w:sz w:val="32"/>
                <w:szCs w:val="32"/>
                <w:lang w:val="zh-CN"/>
              </w:rPr>
              <w:t>对市政府交通基础设施建设情况进行视察</w:t>
            </w:r>
          </w:p>
        </w:tc>
      </w:tr>
      <w:tr>
        <w:tblPrEx>
          <w:tblCellMar>
            <w:top w:w="0" w:type="dxa"/>
            <w:left w:w="0" w:type="dxa"/>
            <w:bottom w:w="0" w:type="dxa"/>
            <w:right w:w="0" w:type="dxa"/>
          </w:tblCellMar>
        </w:tblPrEx>
        <w:trPr>
          <w:trHeight w:val="585"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b/>
                <w:kern w:val="0"/>
                <w:sz w:val="22"/>
                <w:lang w:val="zh-CN"/>
              </w:rPr>
            </w:pPr>
          </w:p>
        </w:tc>
        <w:tc>
          <w:tcPr>
            <w:tcW w:w="9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kern w:val="0"/>
                <w:sz w:val="22"/>
                <w:lang w:val="zh-CN"/>
              </w:rPr>
            </w:pP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2"/>
                <w:szCs w:val="32"/>
                <w:lang w:val="zh-CN"/>
              </w:rPr>
            </w:pPr>
            <w:r>
              <w:rPr>
                <w:rFonts w:hint="eastAsia" w:ascii="仿宋" w:eastAsia="仿宋" w:cs="仿宋"/>
                <w:color w:val="000000"/>
                <w:kern w:val="0"/>
                <w:sz w:val="32"/>
                <w:szCs w:val="32"/>
                <w:lang w:val="zh-CN"/>
              </w:rPr>
              <w:t>对市政府国有自然资源资产管理工作进行调研</w:t>
            </w:r>
          </w:p>
        </w:tc>
      </w:tr>
      <w:tr>
        <w:tblPrEx>
          <w:tblCellMar>
            <w:top w:w="0" w:type="dxa"/>
            <w:left w:w="0" w:type="dxa"/>
            <w:bottom w:w="0" w:type="dxa"/>
            <w:right w:w="0" w:type="dxa"/>
          </w:tblCellMar>
        </w:tblPrEx>
        <w:trPr>
          <w:trHeight w:val="660"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b/>
                <w:kern w:val="0"/>
                <w:sz w:val="22"/>
                <w:lang w:val="zh-CN"/>
              </w:rPr>
            </w:pPr>
          </w:p>
        </w:tc>
        <w:tc>
          <w:tcPr>
            <w:tcW w:w="9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7</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rPr>
                <w:rFonts w:ascii="仿宋" w:eastAsia="仿宋" w:cs="仿宋"/>
                <w:color w:val="000000"/>
                <w:kern w:val="0"/>
                <w:sz w:val="32"/>
                <w:szCs w:val="32"/>
                <w:lang w:val="zh-CN"/>
              </w:rPr>
            </w:pPr>
            <w:r>
              <w:rPr>
                <w:rFonts w:hint="eastAsia" w:ascii="仿宋" w:eastAsia="仿宋" w:cs="仿宋"/>
                <w:color w:val="000000"/>
                <w:kern w:val="0"/>
                <w:sz w:val="32"/>
                <w:szCs w:val="32"/>
                <w:lang w:val="zh-CN"/>
              </w:rPr>
              <w:t>对市政府</w:t>
            </w:r>
            <w:r>
              <w:rPr>
                <w:rFonts w:ascii="仿宋" w:eastAsia="仿宋" w:cs="仿宋"/>
                <w:color w:val="000000"/>
                <w:kern w:val="0"/>
                <w:sz w:val="32"/>
                <w:szCs w:val="32"/>
                <w:lang w:val="zh-CN"/>
              </w:rPr>
              <w:t>2019</w:t>
            </w:r>
            <w:r>
              <w:rPr>
                <w:rFonts w:hint="eastAsia" w:ascii="仿宋" w:eastAsia="仿宋" w:cs="仿宋"/>
                <w:color w:val="000000"/>
                <w:kern w:val="0"/>
                <w:sz w:val="32"/>
                <w:szCs w:val="32"/>
                <w:lang w:val="zh-CN"/>
              </w:rPr>
              <w:t>年国民经济和社会发展计划上半年执行情况进行调研</w:t>
            </w:r>
          </w:p>
        </w:tc>
      </w:tr>
      <w:tr>
        <w:tblPrEx>
          <w:tblCellMar>
            <w:top w:w="0" w:type="dxa"/>
            <w:left w:w="0" w:type="dxa"/>
            <w:bottom w:w="0" w:type="dxa"/>
            <w:right w:w="0" w:type="dxa"/>
          </w:tblCellMar>
        </w:tblPrEx>
        <w:trPr>
          <w:trHeight w:val="472"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b/>
                <w:kern w:val="0"/>
                <w:sz w:val="22"/>
                <w:lang w:val="zh-CN"/>
              </w:rPr>
            </w:pPr>
          </w:p>
        </w:tc>
        <w:tc>
          <w:tcPr>
            <w:tcW w:w="9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kern w:val="0"/>
                <w:sz w:val="22"/>
                <w:lang w:val="zh-CN"/>
              </w:rPr>
            </w:pP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rPr>
                <w:rFonts w:ascii="仿宋" w:eastAsia="仿宋" w:cs="仿宋"/>
                <w:color w:val="000000"/>
                <w:kern w:val="0"/>
                <w:sz w:val="32"/>
                <w:szCs w:val="32"/>
                <w:lang w:val="zh-CN"/>
              </w:rPr>
            </w:pPr>
            <w:r>
              <w:rPr>
                <w:rFonts w:hint="eastAsia" w:ascii="仿宋" w:eastAsia="仿宋" w:cs="仿宋"/>
                <w:color w:val="000000"/>
                <w:kern w:val="0"/>
                <w:sz w:val="32"/>
                <w:szCs w:val="32"/>
                <w:lang w:val="zh-CN"/>
              </w:rPr>
              <w:t>对市政府</w:t>
            </w:r>
            <w:r>
              <w:rPr>
                <w:rFonts w:ascii="仿宋" w:eastAsia="仿宋" w:cs="仿宋"/>
                <w:color w:val="000000"/>
                <w:kern w:val="0"/>
                <w:sz w:val="32"/>
                <w:szCs w:val="32"/>
                <w:lang w:val="zh-CN"/>
              </w:rPr>
              <w:t>2019</w:t>
            </w:r>
            <w:r>
              <w:rPr>
                <w:rFonts w:hint="eastAsia" w:ascii="仿宋" w:eastAsia="仿宋" w:cs="仿宋"/>
                <w:color w:val="000000"/>
                <w:kern w:val="0"/>
                <w:sz w:val="32"/>
                <w:szCs w:val="32"/>
                <w:lang w:val="zh-CN"/>
              </w:rPr>
              <w:t>年市本级预算上半年执行情况进行调研</w:t>
            </w:r>
          </w:p>
        </w:tc>
      </w:tr>
      <w:tr>
        <w:tblPrEx>
          <w:tblCellMar>
            <w:top w:w="0" w:type="dxa"/>
            <w:left w:w="0" w:type="dxa"/>
            <w:bottom w:w="0" w:type="dxa"/>
            <w:right w:w="0" w:type="dxa"/>
          </w:tblCellMar>
        </w:tblPrEx>
        <w:trPr>
          <w:trHeight w:val="877"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b/>
                <w:kern w:val="0"/>
                <w:sz w:val="22"/>
                <w:lang w:val="zh-CN"/>
              </w:rPr>
            </w:pPr>
          </w:p>
        </w:tc>
        <w:tc>
          <w:tcPr>
            <w:tcW w:w="9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kern w:val="0"/>
                <w:sz w:val="22"/>
                <w:lang w:val="zh-CN"/>
              </w:rPr>
            </w:pP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rPr>
                <w:rFonts w:ascii="仿宋" w:eastAsia="仿宋" w:cs="仿宋"/>
                <w:color w:val="000000"/>
                <w:kern w:val="0"/>
                <w:sz w:val="28"/>
                <w:szCs w:val="28"/>
                <w:lang w:val="zh-CN"/>
              </w:rPr>
            </w:pPr>
            <w:r>
              <w:rPr>
                <w:rFonts w:hint="eastAsia" w:ascii="仿宋" w:eastAsia="仿宋" w:cs="仿宋"/>
                <w:color w:val="000000"/>
                <w:kern w:val="0"/>
                <w:sz w:val="28"/>
                <w:szCs w:val="28"/>
                <w:lang w:val="zh-CN"/>
              </w:rPr>
              <w:t>对市政府</w:t>
            </w:r>
            <w:r>
              <w:rPr>
                <w:rFonts w:ascii="仿宋" w:eastAsia="仿宋" w:cs="仿宋"/>
                <w:color w:val="000000"/>
                <w:kern w:val="0"/>
                <w:sz w:val="28"/>
                <w:szCs w:val="28"/>
                <w:lang w:val="zh-CN"/>
              </w:rPr>
              <w:t>2018</w:t>
            </w:r>
            <w:r>
              <w:rPr>
                <w:rFonts w:hint="eastAsia" w:ascii="仿宋" w:eastAsia="仿宋" w:cs="仿宋"/>
                <w:color w:val="000000"/>
                <w:kern w:val="0"/>
                <w:sz w:val="28"/>
                <w:szCs w:val="28"/>
                <w:lang w:val="zh-CN"/>
              </w:rPr>
              <w:t>年市本级决算和市总决算情况进行初审调研；对市政府</w:t>
            </w:r>
            <w:r>
              <w:rPr>
                <w:rFonts w:ascii="仿宋" w:eastAsia="仿宋" w:cs="仿宋"/>
                <w:color w:val="000000"/>
                <w:kern w:val="0"/>
                <w:sz w:val="28"/>
                <w:szCs w:val="28"/>
                <w:lang w:val="zh-CN"/>
              </w:rPr>
              <w:t>2018</w:t>
            </w:r>
            <w:r>
              <w:rPr>
                <w:rFonts w:hint="eastAsia" w:ascii="仿宋" w:eastAsia="仿宋" w:cs="仿宋"/>
                <w:color w:val="000000"/>
                <w:kern w:val="0"/>
                <w:sz w:val="28"/>
                <w:szCs w:val="28"/>
                <w:lang w:val="zh-CN"/>
              </w:rPr>
              <w:t>年度市本级预算执行和其他财政收支情况的审计工作报告进行初审调研</w:t>
            </w:r>
          </w:p>
        </w:tc>
      </w:tr>
      <w:tr>
        <w:tblPrEx>
          <w:tblCellMar>
            <w:top w:w="0" w:type="dxa"/>
            <w:left w:w="0" w:type="dxa"/>
            <w:bottom w:w="0" w:type="dxa"/>
            <w:right w:w="0" w:type="dxa"/>
          </w:tblCellMar>
        </w:tblPrEx>
        <w:trPr>
          <w:trHeight w:val="877"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b/>
                <w:kern w:val="0"/>
                <w:sz w:val="22"/>
                <w:lang w:val="zh-CN"/>
              </w:rPr>
            </w:pPr>
          </w:p>
        </w:tc>
        <w:tc>
          <w:tcPr>
            <w:tcW w:w="9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kern w:val="0"/>
                <w:sz w:val="22"/>
                <w:lang w:val="zh-CN"/>
              </w:rPr>
            </w:pP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rPr>
                <w:rFonts w:ascii="仿宋" w:eastAsia="仿宋" w:cs="仿宋"/>
                <w:color w:val="000000"/>
                <w:kern w:val="0"/>
                <w:sz w:val="32"/>
                <w:szCs w:val="32"/>
                <w:lang w:val="zh-CN"/>
              </w:rPr>
            </w:pPr>
            <w:r>
              <w:rPr>
                <w:rFonts w:hint="eastAsia" w:ascii="仿宋" w:eastAsia="仿宋" w:cs="仿宋"/>
                <w:color w:val="000000"/>
                <w:kern w:val="0"/>
                <w:sz w:val="32"/>
                <w:szCs w:val="32"/>
                <w:lang w:val="zh-CN"/>
              </w:rPr>
              <w:t>对市政府201</w:t>
            </w:r>
            <w:r>
              <w:rPr>
                <w:rFonts w:ascii="仿宋" w:eastAsia="仿宋" w:cs="仿宋"/>
                <w:color w:val="000000"/>
                <w:kern w:val="0"/>
                <w:sz w:val="32"/>
                <w:szCs w:val="32"/>
                <w:lang w:val="zh-CN"/>
              </w:rPr>
              <w:t>8</w:t>
            </w:r>
            <w:r>
              <w:rPr>
                <w:rFonts w:hint="eastAsia" w:ascii="仿宋" w:eastAsia="仿宋" w:cs="仿宋"/>
                <w:color w:val="000000"/>
                <w:kern w:val="0"/>
                <w:sz w:val="32"/>
                <w:szCs w:val="32"/>
                <w:lang w:val="zh-CN"/>
              </w:rPr>
              <w:t>年行政事业单位国有资产管理情况进行视察，对</w:t>
            </w:r>
            <w:r>
              <w:rPr>
                <w:rFonts w:ascii="仿宋" w:eastAsia="仿宋" w:cs="仿宋"/>
                <w:color w:val="000000"/>
                <w:kern w:val="0"/>
                <w:sz w:val="32"/>
                <w:szCs w:val="32"/>
                <w:lang w:val="zh-CN"/>
              </w:rPr>
              <w:t>2018</w:t>
            </w:r>
            <w:r>
              <w:rPr>
                <w:rFonts w:hint="eastAsia" w:ascii="仿宋" w:eastAsia="仿宋" w:cs="仿宋"/>
                <w:color w:val="000000"/>
                <w:kern w:val="0"/>
                <w:sz w:val="32"/>
                <w:szCs w:val="32"/>
                <w:lang w:val="zh-CN"/>
              </w:rPr>
              <w:t>年全市及市本级国有资产管理情况进行调研</w:t>
            </w:r>
          </w:p>
        </w:tc>
      </w:tr>
      <w:tr>
        <w:tblPrEx>
          <w:tblCellMar>
            <w:top w:w="0" w:type="dxa"/>
            <w:left w:w="0" w:type="dxa"/>
            <w:bottom w:w="0" w:type="dxa"/>
            <w:right w:w="0" w:type="dxa"/>
          </w:tblCellMar>
        </w:tblPrEx>
        <w:trPr>
          <w:trHeight w:val="489"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b/>
                <w:kern w:val="0"/>
                <w:sz w:val="22"/>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9</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rPr>
                <w:rFonts w:ascii="仿宋" w:eastAsia="仿宋" w:cs="仿宋"/>
                <w:color w:val="000000"/>
                <w:kern w:val="0"/>
                <w:sz w:val="32"/>
                <w:szCs w:val="32"/>
                <w:lang w:val="zh-CN"/>
              </w:rPr>
            </w:pPr>
            <w:r>
              <w:rPr>
                <w:rFonts w:hint="eastAsia" w:ascii="仿宋" w:eastAsia="仿宋" w:cs="仿宋"/>
                <w:color w:val="000000"/>
                <w:kern w:val="0"/>
                <w:sz w:val="32"/>
                <w:szCs w:val="32"/>
                <w:lang w:val="zh-CN"/>
              </w:rPr>
              <w:t>对</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构建良好金融生态环境</w:t>
            </w:r>
            <w:r>
              <w:rPr>
                <w:rFonts w:ascii="仿宋" w:eastAsia="仿宋" w:cs="仿宋"/>
                <w:color w:val="000000"/>
                <w:kern w:val="0"/>
                <w:sz w:val="32"/>
                <w:szCs w:val="32"/>
                <w:lang w:val="zh-CN"/>
              </w:rPr>
              <w:t>”</w:t>
            </w:r>
            <w:r>
              <w:rPr>
                <w:rFonts w:hint="eastAsia" w:ascii="仿宋" w:eastAsia="仿宋" w:cs="仿宋"/>
                <w:color w:val="000000"/>
                <w:kern w:val="0"/>
                <w:sz w:val="32"/>
                <w:szCs w:val="32"/>
                <w:lang w:val="zh-CN"/>
              </w:rPr>
              <w:t>工作进行调研</w:t>
            </w:r>
          </w:p>
        </w:tc>
      </w:tr>
      <w:tr>
        <w:tblPrEx>
          <w:tblCellMar>
            <w:top w:w="0" w:type="dxa"/>
            <w:left w:w="0" w:type="dxa"/>
            <w:bottom w:w="0" w:type="dxa"/>
            <w:right w:w="0" w:type="dxa"/>
          </w:tblCellMar>
        </w:tblPrEx>
        <w:trPr>
          <w:trHeight w:val="555"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b/>
                <w:kern w:val="0"/>
                <w:sz w:val="22"/>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11</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rPr>
                <w:rFonts w:ascii="仿宋" w:eastAsia="仿宋" w:cs="仿宋"/>
                <w:color w:val="000000"/>
                <w:kern w:val="0"/>
                <w:sz w:val="28"/>
                <w:szCs w:val="28"/>
                <w:lang w:val="zh-CN"/>
              </w:rPr>
            </w:pPr>
            <w:r>
              <w:rPr>
                <w:rFonts w:hint="eastAsia" w:ascii="仿宋" w:eastAsia="仿宋" w:cs="仿宋"/>
                <w:color w:val="000000"/>
                <w:kern w:val="0"/>
                <w:sz w:val="28"/>
                <w:szCs w:val="28"/>
                <w:lang w:val="zh-CN"/>
              </w:rPr>
              <w:t>对市政府</w:t>
            </w:r>
            <w:r>
              <w:rPr>
                <w:rFonts w:ascii="仿宋" w:eastAsia="仿宋" w:cs="仿宋"/>
                <w:color w:val="000000"/>
                <w:kern w:val="0"/>
                <w:sz w:val="28"/>
                <w:szCs w:val="28"/>
                <w:lang w:val="zh-CN"/>
              </w:rPr>
              <w:t>2018</w:t>
            </w:r>
            <w:r>
              <w:rPr>
                <w:rFonts w:hint="eastAsia" w:ascii="仿宋" w:eastAsia="仿宋" w:cs="仿宋"/>
                <w:color w:val="000000"/>
                <w:kern w:val="0"/>
                <w:sz w:val="28"/>
                <w:szCs w:val="28"/>
                <w:lang w:val="zh-CN"/>
              </w:rPr>
              <w:t>年预算执行及其他财政收支审计查出问题的整改情况进行调研</w:t>
            </w:r>
          </w:p>
        </w:tc>
      </w:tr>
      <w:tr>
        <w:tblPrEx>
          <w:tblCellMar>
            <w:top w:w="0" w:type="dxa"/>
            <w:left w:w="0" w:type="dxa"/>
            <w:bottom w:w="0" w:type="dxa"/>
            <w:right w:w="0" w:type="dxa"/>
          </w:tblCellMar>
        </w:tblPrEx>
        <w:trPr>
          <w:trHeight w:val="499" w:hRule="atLeast"/>
          <w:jc w:val="center"/>
        </w:trPr>
        <w:tc>
          <w:tcPr>
            <w:tcW w:w="220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仿宋" w:eastAsia="仿宋" w:cs="仿宋"/>
                <w:b/>
                <w:color w:val="000000"/>
                <w:kern w:val="0"/>
                <w:sz w:val="32"/>
                <w:szCs w:val="32"/>
                <w:lang w:val="zh-CN"/>
              </w:rPr>
            </w:pPr>
            <w:r>
              <w:rPr>
                <w:rFonts w:hint="eastAsia" w:ascii="仿宋" w:eastAsia="仿宋" w:cs="仿宋"/>
                <w:b/>
                <w:color w:val="000000"/>
                <w:kern w:val="0"/>
                <w:sz w:val="32"/>
                <w:szCs w:val="32"/>
                <w:lang w:val="zh-CN"/>
              </w:rPr>
              <w:t>农业和农村</w:t>
            </w:r>
          </w:p>
          <w:p>
            <w:pPr>
              <w:autoSpaceDE w:val="0"/>
              <w:autoSpaceDN w:val="0"/>
              <w:adjustRightInd w:val="0"/>
              <w:spacing w:line="500" w:lineRule="atLeast"/>
              <w:jc w:val="center"/>
              <w:rPr>
                <w:rFonts w:ascii="仿宋" w:eastAsia="仿宋" w:cs="仿宋"/>
                <w:b/>
                <w:color w:val="000000"/>
                <w:kern w:val="0"/>
                <w:sz w:val="32"/>
                <w:szCs w:val="32"/>
                <w:lang w:val="zh-CN"/>
              </w:rPr>
            </w:pPr>
            <w:r>
              <w:rPr>
                <w:rFonts w:hint="eastAsia" w:ascii="仿宋" w:eastAsia="仿宋" w:cs="仿宋"/>
                <w:b/>
                <w:color w:val="000000"/>
                <w:kern w:val="0"/>
                <w:sz w:val="32"/>
                <w:szCs w:val="32"/>
                <w:lang w:val="zh-CN"/>
              </w:rPr>
              <w:t>工作委员会</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2"/>
                <w:szCs w:val="32"/>
                <w:lang w:val="zh-CN"/>
              </w:rPr>
            </w:pPr>
            <w:r>
              <w:rPr>
                <w:rFonts w:hint="eastAsia" w:ascii="仿宋" w:eastAsia="仿宋" w:cs="仿宋"/>
                <w:color w:val="000000"/>
                <w:kern w:val="0"/>
                <w:sz w:val="32"/>
                <w:szCs w:val="32"/>
                <w:lang w:val="zh-CN"/>
              </w:rPr>
              <w:t>对市政府农田水利设施建设情况进行视察</w:t>
            </w:r>
          </w:p>
        </w:tc>
      </w:tr>
      <w:tr>
        <w:tblPrEx>
          <w:tblCellMar>
            <w:top w:w="0" w:type="dxa"/>
            <w:left w:w="0" w:type="dxa"/>
            <w:bottom w:w="0" w:type="dxa"/>
            <w:right w:w="0" w:type="dxa"/>
          </w:tblCellMar>
        </w:tblPrEx>
        <w:trPr>
          <w:trHeight w:val="518"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b/>
                <w:kern w:val="0"/>
                <w:sz w:val="22"/>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7</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2"/>
                <w:szCs w:val="32"/>
                <w:lang w:val="zh-CN"/>
              </w:rPr>
            </w:pPr>
            <w:r>
              <w:rPr>
                <w:rFonts w:hint="eastAsia" w:ascii="仿宋" w:eastAsia="仿宋" w:cs="仿宋"/>
                <w:color w:val="000000"/>
                <w:kern w:val="0"/>
                <w:sz w:val="32"/>
                <w:szCs w:val="32"/>
                <w:lang w:val="zh-CN"/>
              </w:rPr>
              <w:t>对我市发展新型农业经营主体情况进行调研</w:t>
            </w:r>
          </w:p>
        </w:tc>
      </w:tr>
      <w:tr>
        <w:tblPrEx>
          <w:tblCellMar>
            <w:top w:w="0" w:type="dxa"/>
            <w:left w:w="0" w:type="dxa"/>
            <w:bottom w:w="0" w:type="dxa"/>
            <w:right w:w="0" w:type="dxa"/>
          </w:tblCellMar>
        </w:tblPrEx>
        <w:trPr>
          <w:trHeight w:val="564"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b/>
                <w:kern w:val="0"/>
                <w:sz w:val="22"/>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9</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2"/>
                <w:szCs w:val="32"/>
                <w:lang w:val="zh-CN"/>
              </w:rPr>
            </w:pPr>
            <w:r>
              <w:rPr>
                <w:rFonts w:hint="eastAsia" w:ascii="仿宋" w:eastAsia="仿宋" w:cs="仿宋"/>
                <w:color w:val="000000"/>
                <w:kern w:val="0"/>
                <w:sz w:val="32"/>
                <w:szCs w:val="32"/>
                <w:lang w:val="zh-CN"/>
              </w:rPr>
              <w:t>对市政府脱贫攻坚工作情况进行视察，开展持续监督</w:t>
            </w:r>
          </w:p>
        </w:tc>
      </w:tr>
      <w:tr>
        <w:tblPrEx>
          <w:tblCellMar>
            <w:top w:w="0" w:type="dxa"/>
            <w:left w:w="0" w:type="dxa"/>
            <w:bottom w:w="0" w:type="dxa"/>
            <w:right w:w="0" w:type="dxa"/>
          </w:tblCellMar>
        </w:tblPrEx>
        <w:trPr>
          <w:trHeight w:val="497" w:hRule="atLeast"/>
          <w:jc w:val="center"/>
        </w:trPr>
        <w:tc>
          <w:tcPr>
            <w:tcW w:w="220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仿宋" w:eastAsia="仿宋" w:cs="仿宋"/>
                <w:b/>
                <w:color w:val="000000"/>
                <w:kern w:val="0"/>
                <w:sz w:val="32"/>
                <w:szCs w:val="32"/>
                <w:lang w:val="zh-CN"/>
              </w:rPr>
            </w:pPr>
            <w:r>
              <w:rPr>
                <w:rFonts w:hint="eastAsia" w:ascii="仿宋" w:eastAsia="仿宋" w:cs="仿宋"/>
                <w:b/>
                <w:color w:val="000000"/>
                <w:kern w:val="0"/>
                <w:sz w:val="32"/>
                <w:szCs w:val="32"/>
                <w:lang w:val="zh-CN"/>
              </w:rPr>
              <w:t>城乡建设和</w:t>
            </w:r>
          </w:p>
          <w:p>
            <w:pPr>
              <w:autoSpaceDE w:val="0"/>
              <w:autoSpaceDN w:val="0"/>
              <w:adjustRightInd w:val="0"/>
              <w:spacing w:line="500" w:lineRule="atLeast"/>
              <w:jc w:val="center"/>
              <w:rPr>
                <w:rFonts w:ascii="仿宋" w:eastAsia="仿宋" w:cs="仿宋"/>
                <w:b/>
                <w:color w:val="000000"/>
                <w:kern w:val="0"/>
                <w:sz w:val="32"/>
                <w:szCs w:val="32"/>
                <w:lang w:val="zh-CN"/>
              </w:rPr>
            </w:pPr>
            <w:r>
              <w:rPr>
                <w:rFonts w:hint="eastAsia" w:ascii="仿宋" w:eastAsia="仿宋" w:cs="仿宋"/>
                <w:b/>
                <w:color w:val="000000"/>
                <w:kern w:val="0"/>
                <w:sz w:val="32"/>
                <w:szCs w:val="32"/>
                <w:lang w:val="zh-CN"/>
              </w:rPr>
              <w:t>环境资源</w:t>
            </w:r>
          </w:p>
          <w:p>
            <w:pPr>
              <w:autoSpaceDE w:val="0"/>
              <w:autoSpaceDN w:val="0"/>
              <w:adjustRightInd w:val="0"/>
              <w:spacing w:line="500" w:lineRule="atLeast"/>
              <w:jc w:val="center"/>
              <w:rPr>
                <w:rFonts w:ascii="仿宋" w:eastAsia="仿宋" w:cs="仿宋"/>
                <w:b/>
                <w:color w:val="000000"/>
                <w:kern w:val="0"/>
                <w:sz w:val="32"/>
                <w:szCs w:val="32"/>
                <w:lang w:val="zh-CN"/>
              </w:rPr>
            </w:pPr>
            <w:r>
              <w:rPr>
                <w:rFonts w:hint="eastAsia" w:ascii="仿宋" w:eastAsia="仿宋" w:cs="仿宋"/>
                <w:b/>
                <w:color w:val="000000"/>
                <w:kern w:val="0"/>
                <w:sz w:val="32"/>
                <w:szCs w:val="32"/>
                <w:lang w:val="zh-CN"/>
              </w:rPr>
              <w:t>工作委员会</w:t>
            </w:r>
          </w:p>
        </w:tc>
        <w:tc>
          <w:tcPr>
            <w:tcW w:w="9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2"/>
                <w:szCs w:val="32"/>
                <w:lang w:val="zh-CN"/>
              </w:rPr>
            </w:pPr>
            <w:r>
              <w:rPr>
                <w:rFonts w:hint="eastAsia" w:ascii="仿宋" w:eastAsia="仿宋" w:cs="仿宋"/>
                <w:color w:val="000000"/>
                <w:kern w:val="0"/>
                <w:sz w:val="32"/>
                <w:szCs w:val="32"/>
                <w:lang w:val="zh-CN"/>
              </w:rPr>
              <w:t>对我市风景名胜区管理情况进行调研</w:t>
            </w:r>
          </w:p>
        </w:tc>
      </w:tr>
      <w:tr>
        <w:tblPrEx>
          <w:tblCellMar>
            <w:top w:w="0" w:type="dxa"/>
            <w:left w:w="0" w:type="dxa"/>
            <w:bottom w:w="0" w:type="dxa"/>
            <w:right w:w="0" w:type="dxa"/>
          </w:tblCellMar>
        </w:tblPrEx>
        <w:trPr>
          <w:trHeight w:val="534"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b/>
                <w:kern w:val="0"/>
                <w:sz w:val="22"/>
                <w:lang w:val="zh-CN"/>
              </w:rPr>
            </w:pPr>
          </w:p>
        </w:tc>
        <w:tc>
          <w:tcPr>
            <w:tcW w:w="9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kern w:val="0"/>
                <w:sz w:val="22"/>
                <w:lang w:val="zh-CN"/>
              </w:rPr>
            </w:pP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2"/>
                <w:szCs w:val="32"/>
                <w:lang w:val="zh-CN"/>
              </w:rPr>
            </w:pPr>
            <w:r>
              <w:rPr>
                <w:rFonts w:hint="eastAsia" w:ascii="仿宋" w:eastAsia="仿宋" w:cs="仿宋"/>
                <w:color w:val="000000"/>
                <w:kern w:val="0"/>
                <w:sz w:val="32"/>
                <w:szCs w:val="32"/>
                <w:lang w:val="zh-CN"/>
              </w:rPr>
              <w:t>对《承德市城市供热管理条例》开展初审前调研</w:t>
            </w:r>
          </w:p>
        </w:tc>
      </w:tr>
      <w:tr>
        <w:tblPrEx>
          <w:tblCellMar>
            <w:top w:w="0" w:type="dxa"/>
            <w:left w:w="0" w:type="dxa"/>
            <w:bottom w:w="0" w:type="dxa"/>
            <w:right w:w="0" w:type="dxa"/>
          </w:tblCellMar>
        </w:tblPrEx>
        <w:trPr>
          <w:trHeight w:val="607"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b/>
                <w:kern w:val="0"/>
                <w:sz w:val="22"/>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7</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2"/>
                <w:szCs w:val="32"/>
                <w:lang w:val="zh-CN"/>
              </w:rPr>
            </w:pPr>
            <w:r>
              <w:rPr>
                <w:rFonts w:hint="eastAsia" w:ascii="仿宋" w:eastAsia="仿宋" w:cs="仿宋"/>
                <w:color w:val="000000"/>
                <w:kern w:val="0"/>
                <w:sz w:val="32"/>
                <w:szCs w:val="32"/>
                <w:lang w:val="zh-CN"/>
              </w:rPr>
              <w:t>对《承德市物业管理条例》开展初审前调研</w:t>
            </w:r>
          </w:p>
        </w:tc>
      </w:tr>
      <w:tr>
        <w:tblPrEx>
          <w:tblCellMar>
            <w:top w:w="0" w:type="dxa"/>
            <w:left w:w="0" w:type="dxa"/>
            <w:bottom w:w="0" w:type="dxa"/>
            <w:right w:w="0" w:type="dxa"/>
          </w:tblCellMar>
        </w:tblPrEx>
        <w:trPr>
          <w:trHeight w:val="1069"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b/>
                <w:kern w:val="0"/>
                <w:sz w:val="22"/>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9</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0"/>
                <w:szCs w:val="30"/>
                <w:lang w:val="zh-CN"/>
              </w:rPr>
            </w:pPr>
            <w:r>
              <w:rPr>
                <w:rFonts w:hint="eastAsia" w:ascii="仿宋" w:eastAsia="仿宋" w:cs="仿宋"/>
                <w:color w:val="000000"/>
                <w:kern w:val="0"/>
                <w:sz w:val="30"/>
                <w:szCs w:val="30"/>
                <w:lang w:val="zh-CN"/>
              </w:rPr>
              <w:t>对市政府贯彻落实《中华人民共和国水污染防治法》和《河北省水污染防治条例》、开展水污染防治工作进行大型视察、执法检查</w:t>
            </w:r>
          </w:p>
        </w:tc>
      </w:tr>
      <w:tr>
        <w:tblPrEx>
          <w:tblCellMar>
            <w:top w:w="0" w:type="dxa"/>
            <w:left w:w="0" w:type="dxa"/>
            <w:bottom w:w="0" w:type="dxa"/>
            <w:right w:w="0" w:type="dxa"/>
          </w:tblCellMar>
        </w:tblPrEx>
        <w:trPr>
          <w:trHeight w:val="674" w:hRule="atLeast"/>
          <w:jc w:val="center"/>
        </w:trPr>
        <w:tc>
          <w:tcPr>
            <w:tcW w:w="220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仿宋" w:eastAsia="仿宋" w:cs="仿宋"/>
                <w:b/>
                <w:color w:val="000000"/>
                <w:kern w:val="0"/>
                <w:sz w:val="32"/>
                <w:szCs w:val="32"/>
                <w:lang w:val="zh-CN"/>
              </w:rPr>
            </w:pPr>
            <w:r>
              <w:rPr>
                <w:rFonts w:hint="eastAsia" w:ascii="仿宋" w:eastAsia="仿宋" w:cs="仿宋"/>
                <w:b/>
                <w:color w:val="000000"/>
                <w:kern w:val="0"/>
                <w:sz w:val="32"/>
                <w:szCs w:val="32"/>
                <w:lang w:val="zh-CN"/>
              </w:rPr>
              <w:t>教育科学</w:t>
            </w:r>
          </w:p>
          <w:p>
            <w:pPr>
              <w:autoSpaceDE w:val="0"/>
              <w:autoSpaceDN w:val="0"/>
              <w:adjustRightInd w:val="0"/>
              <w:spacing w:line="500" w:lineRule="atLeast"/>
              <w:jc w:val="center"/>
              <w:rPr>
                <w:rFonts w:ascii="仿宋" w:eastAsia="仿宋" w:cs="仿宋"/>
                <w:b/>
                <w:color w:val="000000"/>
                <w:kern w:val="0"/>
                <w:sz w:val="32"/>
                <w:szCs w:val="32"/>
                <w:lang w:val="zh-CN"/>
              </w:rPr>
            </w:pPr>
            <w:r>
              <w:rPr>
                <w:rFonts w:hint="eastAsia" w:ascii="仿宋" w:eastAsia="仿宋" w:cs="仿宋"/>
                <w:b/>
                <w:color w:val="000000"/>
                <w:kern w:val="0"/>
                <w:sz w:val="32"/>
                <w:szCs w:val="32"/>
                <w:lang w:val="zh-CN"/>
              </w:rPr>
              <w:t>文化卫生</w:t>
            </w:r>
          </w:p>
          <w:p>
            <w:pPr>
              <w:autoSpaceDE w:val="0"/>
              <w:autoSpaceDN w:val="0"/>
              <w:adjustRightInd w:val="0"/>
              <w:spacing w:line="500" w:lineRule="atLeast"/>
              <w:jc w:val="center"/>
              <w:rPr>
                <w:rFonts w:ascii="仿宋" w:eastAsia="仿宋" w:cs="仿宋"/>
                <w:b/>
                <w:color w:val="000000"/>
                <w:kern w:val="0"/>
                <w:sz w:val="32"/>
                <w:szCs w:val="32"/>
                <w:lang w:val="zh-CN"/>
              </w:rPr>
            </w:pPr>
            <w:r>
              <w:rPr>
                <w:rFonts w:hint="eastAsia" w:ascii="仿宋" w:eastAsia="仿宋" w:cs="仿宋"/>
                <w:b/>
                <w:color w:val="000000"/>
                <w:kern w:val="0"/>
                <w:sz w:val="32"/>
                <w:szCs w:val="32"/>
                <w:lang w:val="zh-CN"/>
              </w:rPr>
              <w:t>工作委员会</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0"/>
                <w:szCs w:val="30"/>
                <w:lang w:val="zh-CN"/>
              </w:rPr>
            </w:pPr>
            <w:r>
              <w:rPr>
                <w:rFonts w:hint="eastAsia" w:ascii="仿宋" w:eastAsia="仿宋" w:cs="仿宋"/>
                <w:color w:val="000000"/>
                <w:kern w:val="0"/>
                <w:sz w:val="30"/>
                <w:szCs w:val="30"/>
                <w:lang w:val="zh-CN"/>
              </w:rPr>
              <w:t>对市政府贯彻实施《中华人民共和国食品安全法》情况进行执法检查</w:t>
            </w:r>
          </w:p>
        </w:tc>
      </w:tr>
      <w:tr>
        <w:tblPrEx>
          <w:tblCellMar>
            <w:top w:w="0" w:type="dxa"/>
            <w:left w:w="0" w:type="dxa"/>
            <w:bottom w:w="0" w:type="dxa"/>
            <w:right w:w="0" w:type="dxa"/>
          </w:tblCellMar>
        </w:tblPrEx>
        <w:trPr>
          <w:trHeight w:val="967"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b/>
                <w:kern w:val="0"/>
                <w:sz w:val="22"/>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9</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2"/>
                <w:szCs w:val="32"/>
                <w:lang w:val="zh-CN"/>
              </w:rPr>
            </w:pPr>
            <w:r>
              <w:rPr>
                <w:rFonts w:hint="eastAsia" w:ascii="仿宋" w:eastAsia="仿宋" w:cs="仿宋"/>
                <w:color w:val="000000"/>
                <w:kern w:val="0"/>
                <w:sz w:val="32"/>
                <w:szCs w:val="32"/>
                <w:lang w:val="zh-CN"/>
              </w:rPr>
              <w:t>对市政府贯彻实施《中华人民共和国传染病防治法》和《中华人民共和国传染病防治法实施办法》情况进行执法检查</w:t>
            </w:r>
          </w:p>
        </w:tc>
      </w:tr>
      <w:tr>
        <w:tblPrEx>
          <w:tblCellMar>
            <w:top w:w="0" w:type="dxa"/>
            <w:left w:w="0" w:type="dxa"/>
            <w:bottom w:w="0" w:type="dxa"/>
            <w:right w:w="0" w:type="dxa"/>
          </w:tblCellMar>
        </w:tblPrEx>
        <w:trPr>
          <w:trHeight w:val="716"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b/>
                <w:kern w:val="0"/>
                <w:sz w:val="22"/>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11</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2"/>
                <w:szCs w:val="32"/>
                <w:lang w:val="zh-CN"/>
              </w:rPr>
            </w:pPr>
            <w:r>
              <w:rPr>
                <w:rFonts w:hint="eastAsia" w:ascii="仿宋" w:eastAsia="仿宋" w:cs="仿宋"/>
                <w:color w:val="000000"/>
                <w:kern w:val="0"/>
                <w:sz w:val="32"/>
                <w:szCs w:val="32"/>
                <w:lang w:val="zh-CN"/>
              </w:rPr>
              <w:t>对《承德市工业遗产保护与利用条例》开展初审前调研</w:t>
            </w:r>
          </w:p>
        </w:tc>
      </w:tr>
      <w:tr>
        <w:tblPrEx>
          <w:tblCellMar>
            <w:top w:w="0" w:type="dxa"/>
            <w:left w:w="0" w:type="dxa"/>
            <w:bottom w:w="0" w:type="dxa"/>
            <w:right w:w="0" w:type="dxa"/>
          </w:tblCellMar>
        </w:tblPrEx>
        <w:trPr>
          <w:trHeight w:val="712" w:hRule="atLeast"/>
          <w:jc w:val="center"/>
        </w:trPr>
        <w:tc>
          <w:tcPr>
            <w:tcW w:w="220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仿宋" w:eastAsia="仿宋" w:cs="仿宋"/>
                <w:b/>
                <w:color w:val="000000"/>
                <w:spacing w:val="-20"/>
                <w:kern w:val="0"/>
                <w:sz w:val="32"/>
                <w:szCs w:val="32"/>
                <w:lang w:val="zh-CN"/>
              </w:rPr>
            </w:pPr>
            <w:r>
              <w:rPr>
                <w:rFonts w:hint="eastAsia" w:ascii="仿宋" w:eastAsia="仿宋" w:cs="仿宋"/>
                <w:b/>
                <w:color w:val="000000"/>
                <w:spacing w:val="-20"/>
                <w:kern w:val="0"/>
                <w:sz w:val="32"/>
                <w:szCs w:val="32"/>
                <w:lang w:val="zh-CN"/>
              </w:rPr>
              <w:t>民族侨务外事</w:t>
            </w:r>
          </w:p>
          <w:p>
            <w:pPr>
              <w:autoSpaceDE w:val="0"/>
              <w:autoSpaceDN w:val="0"/>
              <w:adjustRightInd w:val="0"/>
              <w:spacing w:line="500" w:lineRule="atLeast"/>
              <w:jc w:val="center"/>
              <w:rPr>
                <w:rFonts w:ascii="仿宋" w:eastAsia="仿宋" w:cs="仿宋"/>
                <w:b/>
                <w:color w:val="000000"/>
                <w:kern w:val="0"/>
                <w:sz w:val="32"/>
                <w:szCs w:val="32"/>
                <w:lang w:val="zh-CN"/>
              </w:rPr>
            </w:pPr>
            <w:r>
              <w:rPr>
                <w:rFonts w:hint="eastAsia" w:ascii="仿宋" w:eastAsia="仿宋" w:cs="仿宋"/>
                <w:b/>
                <w:color w:val="000000"/>
                <w:kern w:val="0"/>
                <w:sz w:val="32"/>
                <w:szCs w:val="32"/>
                <w:lang w:val="zh-CN"/>
              </w:rPr>
              <w:t>工作委员会</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2"/>
                <w:szCs w:val="32"/>
                <w:lang w:val="zh-CN"/>
              </w:rPr>
            </w:pPr>
            <w:r>
              <w:rPr>
                <w:rFonts w:hint="eastAsia" w:ascii="仿宋" w:eastAsia="仿宋" w:cs="仿宋"/>
                <w:color w:val="000000"/>
                <w:kern w:val="0"/>
                <w:sz w:val="32"/>
                <w:szCs w:val="32"/>
                <w:lang w:val="zh-CN"/>
              </w:rPr>
              <w:t>对市政府宗教管理工作进行调研</w:t>
            </w:r>
          </w:p>
        </w:tc>
      </w:tr>
      <w:tr>
        <w:tblPrEx>
          <w:tblCellMar>
            <w:top w:w="0" w:type="dxa"/>
            <w:left w:w="0" w:type="dxa"/>
            <w:bottom w:w="0" w:type="dxa"/>
            <w:right w:w="0" w:type="dxa"/>
          </w:tblCellMar>
        </w:tblPrEx>
        <w:trPr>
          <w:trHeight w:val="694"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b/>
                <w:kern w:val="0"/>
                <w:sz w:val="22"/>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仿宋" w:eastAsia="仿宋" w:cs="仿宋"/>
                <w:color w:val="000000"/>
                <w:kern w:val="0"/>
                <w:sz w:val="32"/>
                <w:szCs w:val="32"/>
                <w:lang w:val="zh-CN"/>
              </w:rPr>
            </w:pPr>
            <w:r>
              <w:rPr>
                <w:rFonts w:ascii="仿宋" w:eastAsia="仿宋" w:cs="仿宋"/>
                <w:color w:val="000000"/>
                <w:kern w:val="0"/>
                <w:sz w:val="32"/>
                <w:szCs w:val="32"/>
                <w:lang w:val="zh-CN"/>
              </w:rPr>
              <w:t>9</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24"/>
                <w:szCs w:val="24"/>
                <w:lang w:val="zh-CN"/>
              </w:rPr>
            </w:pPr>
            <w:r>
              <w:rPr>
                <w:rFonts w:hint="eastAsia" w:ascii="仿宋" w:eastAsia="仿宋" w:cs="仿宋"/>
                <w:color w:val="000000"/>
                <w:kern w:val="0"/>
                <w:sz w:val="24"/>
                <w:szCs w:val="24"/>
                <w:lang w:val="zh-CN"/>
              </w:rPr>
              <w:t>对市政府贯彻实施国务院《宗教事务条例》和《河北省宗教事务条例》情况进行执法检查</w:t>
            </w:r>
          </w:p>
        </w:tc>
      </w:tr>
      <w:tr>
        <w:tblPrEx>
          <w:tblCellMar>
            <w:top w:w="0" w:type="dxa"/>
            <w:left w:w="0" w:type="dxa"/>
            <w:bottom w:w="0" w:type="dxa"/>
            <w:right w:w="0" w:type="dxa"/>
          </w:tblCellMar>
        </w:tblPrEx>
        <w:trPr>
          <w:trHeight w:val="511" w:hRule="atLeast"/>
          <w:jc w:val="center"/>
        </w:trPr>
        <w:tc>
          <w:tcPr>
            <w:tcW w:w="2207"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仿宋" w:eastAsia="仿宋" w:cs="仿宋"/>
                <w:b/>
                <w:color w:val="000000"/>
                <w:kern w:val="0"/>
                <w:sz w:val="32"/>
                <w:szCs w:val="32"/>
                <w:lang w:val="zh-CN"/>
              </w:rPr>
            </w:pPr>
            <w:r>
              <w:rPr>
                <w:rFonts w:hint="eastAsia" w:ascii="仿宋" w:eastAsia="仿宋" w:cs="仿宋"/>
                <w:b/>
                <w:color w:val="000000"/>
                <w:kern w:val="0"/>
                <w:sz w:val="32"/>
                <w:szCs w:val="32"/>
                <w:lang w:val="zh-CN"/>
              </w:rPr>
              <w:t>法  制</w:t>
            </w:r>
          </w:p>
          <w:p>
            <w:pPr>
              <w:autoSpaceDE w:val="0"/>
              <w:autoSpaceDN w:val="0"/>
              <w:adjustRightInd w:val="0"/>
              <w:spacing w:line="500" w:lineRule="atLeast"/>
              <w:jc w:val="center"/>
              <w:rPr>
                <w:rFonts w:ascii="仿宋" w:eastAsia="仿宋" w:cs="仿宋"/>
                <w:b/>
                <w:color w:val="000000"/>
                <w:kern w:val="0"/>
                <w:sz w:val="32"/>
                <w:szCs w:val="32"/>
                <w:lang w:val="zh-CN"/>
              </w:rPr>
            </w:pPr>
            <w:r>
              <w:rPr>
                <w:rFonts w:hint="eastAsia" w:ascii="仿宋" w:eastAsia="仿宋" w:cs="仿宋"/>
                <w:b/>
                <w:color w:val="000000"/>
                <w:kern w:val="0"/>
                <w:sz w:val="32"/>
                <w:szCs w:val="32"/>
                <w:lang w:val="zh-CN"/>
              </w:rPr>
              <w:t>工作委员会</w:t>
            </w:r>
          </w:p>
        </w:tc>
        <w:tc>
          <w:tcPr>
            <w:tcW w:w="9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5</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2"/>
                <w:szCs w:val="32"/>
                <w:lang w:val="zh-CN"/>
              </w:rPr>
            </w:pPr>
            <w:r>
              <w:rPr>
                <w:rFonts w:hint="eastAsia" w:ascii="仿宋" w:eastAsia="仿宋" w:cs="仿宋"/>
                <w:color w:val="000000"/>
                <w:kern w:val="0"/>
                <w:sz w:val="32"/>
                <w:szCs w:val="32"/>
                <w:lang w:val="zh-CN"/>
              </w:rPr>
              <w:t>开展草原生态环境保护立法调研</w:t>
            </w:r>
          </w:p>
        </w:tc>
      </w:tr>
      <w:tr>
        <w:tblPrEx>
          <w:tblCellMar>
            <w:top w:w="0" w:type="dxa"/>
            <w:left w:w="0" w:type="dxa"/>
            <w:bottom w:w="0" w:type="dxa"/>
            <w:right w:w="0" w:type="dxa"/>
          </w:tblCellMar>
        </w:tblPrEx>
        <w:trPr>
          <w:trHeight w:val="500"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kern w:val="0"/>
                <w:sz w:val="22"/>
                <w:lang w:val="zh-CN"/>
              </w:rPr>
            </w:pPr>
          </w:p>
        </w:tc>
        <w:tc>
          <w:tcPr>
            <w:tcW w:w="9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kern w:val="0"/>
                <w:sz w:val="22"/>
                <w:lang w:val="zh-CN"/>
              </w:rPr>
            </w:pP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2"/>
                <w:szCs w:val="32"/>
                <w:lang w:val="zh-CN"/>
              </w:rPr>
            </w:pPr>
            <w:r>
              <w:rPr>
                <w:rFonts w:hint="eastAsia" w:ascii="仿宋" w:eastAsia="仿宋" w:cs="仿宋"/>
                <w:color w:val="000000"/>
                <w:kern w:val="0"/>
                <w:sz w:val="32"/>
                <w:szCs w:val="32"/>
                <w:lang w:val="zh-CN"/>
              </w:rPr>
              <w:t>开展历史文化街区保护立法调研</w:t>
            </w:r>
          </w:p>
        </w:tc>
      </w:tr>
      <w:tr>
        <w:tblPrEx>
          <w:tblCellMar>
            <w:top w:w="0" w:type="dxa"/>
            <w:left w:w="0" w:type="dxa"/>
            <w:bottom w:w="0" w:type="dxa"/>
            <w:right w:w="0" w:type="dxa"/>
          </w:tblCellMar>
        </w:tblPrEx>
        <w:trPr>
          <w:trHeight w:val="628"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kern w:val="0"/>
                <w:sz w:val="22"/>
                <w:lang w:val="zh-CN"/>
              </w:rPr>
            </w:pPr>
          </w:p>
        </w:tc>
        <w:tc>
          <w:tcPr>
            <w:tcW w:w="9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8</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2"/>
                <w:szCs w:val="32"/>
                <w:lang w:val="zh-CN"/>
              </w:rPr>
            </w:pPr>
            <w:r>
              <w:rPr>
                <w:rFonts w:hint="eastAsia" w:ascii="仿宋" w:eastAsia="仿宋" w:cs="仿宋"/>
                <w:color w:val="000000"/>
                <w:kern w:val="0"/>
                <w:sz w:val="32"/>
                <w:szCs w:val="32"/>
                <w:lang w:val="zh-CN"/>
              </w:rPr>
              <w:t>开展城乡规划管理立法调研</w:t>
            </w:r>
          </w:p>
        </w:tc>
      </w:tr>
      <w:tr>
        <w:tblPrEx>
          <w:tblCellMar>
            <w:top w:w="0" w:type="dxa"/>
            <w:left w:w="0" w:type="dxa"/>
            <w:bottom w:w="0" w:type="dxa"/>
            <w:right w:w="0" w:type="dxa"/>
          </w:tblCellMar>
        </w:tblPrEx>
        <w:trPr>
          <w:trHeight w:val="566"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kern w:val="0"/>
                <w:sz w:val="22"/>
                <w:lang w:val="zh-CN"/>
              </w:rPr>
            </w:pPr>
          </w:p>
        </w:tc>
        <w:tc>
          <w:tcPr>
            <w:tcW w:w="9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kern w:val="0"/>
                <w:sz w:val="22"/>
                <w:lang w:val="zh-CN"/>
              </w:rPr>
            </w:pP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2"/>
                <w:szCs w:val="32"/>
                <w:lang w:val="zh-CN"/>
              </w:rPr>
            </w:pPr>
            <w:r>
              <w:rPr>
                <w:rFonts w:hint="eastAsia" w:ascii="仿宋" w:eastAsia="仿宋" w:cs="仿宋"/>
                <w:color w:val="000000"/>
                <w:kern w:val="0"/>
                <w:sz w:val="32"/>
                <w:szCs w:val="32"/>
                <w:lang w:val="zh-CN"/>
              </w:rPr>
              <w:t>开展邮政市场管理立法调研</w:t>
            </w:r>
          </w:p>
        </w:tc>
      </w:tr>
      <w:tr>
        <w:tblPrEx>
          <w:tblCellMar>
            <w:top w:w="0" w:type="dxa"/>
            <w:left w:w="0" w:type="dxa"/>
            <w:bottom w:w="0" w:type="dxa"/>
            <w:right w:w="0" w:type="dxa"/>
          </w:tblCellMar>
        </w:tblPrEx>
        <w:trPr>
          <w:trHeight w:val="543"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kern w:val="0"/>
                <w:sz w:val="22"/>
                <w:lang w:val="zh-CN"/>
              </w:rPr>
            </w:pPr>
          </w:p>
        </w:tc>
        <w:tc>
          <w:tcPr>
            <w:tcW w:w="99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10</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2"/>
                <w:szCs w:val="32"/>
                <w:lang w:val="zh-CN"/>
              </w:rPr>
            </w:pPr>
            <w:r>
              <w:rPr>
                <w:rFonts w:hint="eastAsia" w:ascii="仿宋" w:eastAsia="仿宋" w:cs="仿宋"/>
                <w:color w:val="000000"/>
                <w:kern w:val="0"/>
                <w:sz w:val="32"/>
                <w:szCs w:val="32"/>
                <w:lang w:val="zh-CN"/>
              </w:rPr>
              <w:t>开展燃放烟花爆竹管理治理立法调研</w:t>
            </w:r>
          </w:p>
        </w:tc>
      </w:tr>
      <w:tr>
        <w:tblPrEx>
          <w:tblCellMar>
            <w:top w:w="0" w:type="dxa"/>
            <w:left w:w="0" w:type="dxa"/>
            <w:bottom w:w="0" w:type="dxa"/>
            <w:right w:w="0" w:type="dxa"/>
          </w:tblCellMar>
        </w:tblPrEx>
        <w:trPr>
          <w:trHeight w:val="578"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kern w:val="0"/>
                <w:sz w:val="22"/>
                <w:lang w:val="zh-CN"/>
              </w:rPr>
            </w:pPr>
          </w:p>
        </w:tc>
        <w:tc>
          <w:tcPr>
            <w:tcW w:w="99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kern w:val="0"/>
                <w:sz w:val="22"/>
                <w:lang w:val="zh-CN"/>
              </w:rPr>
            </w:pP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2"/>
                <w:szCs w:val="32"/>
                <w:lang w:val="zh-CN"/>
              </w:rPr>
            </w:pPr>
            <w:r>
              <w:rPr>
                <w:rFonts w:hint="eastAsia" w:ascii="仿宋" w:eastAsia="仿宋" w:cs="仿宋"/>
                <w:color w:val="000000"/>
                <w:kern w:val="0"/>
                <w:sz w:val="32"/>
                <w:szCs w:val="32"/>
                <w:lang w:val="zh-CN"/>
              </w:rPr>
              <w:t>开展旅游市场管理立法调研</w:t>
            </w:r>
          </w:p>
        </w:tc>
      </w:tr>
      <w:tr>
        <w:tblPrEx>
          <w:tblCellMar>
            <w:top w:w="0" w:type="dxa"/>
            <w:left w:w="0" w:type="dxa"/>
            <w:bottom w:w="0" w:type="dxa"/>
            <w:right w:w="0" w:type="dxa"/>
          </w:tblCellMar>
        </w:tblPrEx>
        <w:trPr>
          <w:trHeight w:val="652" w:hRule="atLeast"/>
          <w:jc w:val="center"/>
        </w:trPr>
        <w:tc>
          <w:tcPr>
            <w:tcW w:w="2207"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600" w:lineRule="atLeast"/>
              <w:rPr>
                <w:rFonts w:ascii="宋体" w:cs="宋体"/>
                <w:kern w:val="0"/>
                <w:sz w:val="22"/>
                <w:lang w:val="zh-CN"/>
              </w:rPr>
            </w:pP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jc w:val="center"/>
              <w:rPr>
                <w:rFonts w:ascii="宋体" w:cs="宋体"/>
                <w:kern w:val="0"/>
                <w:sz w:val="22"/>
                <w:lang w:val="zh-CN"/>
              </w:rPr>
            </w:pPr>
            <w:r>
              <w:rPr>
                <w:rFonts w:ascii="仿宋" w:eastAsia="仿宋" w:cs="仿宋"/>
                <w:color w:val="000000"/>
                <w:kern w:val="0"/>
                <w:sz w:val="32"/>
                <w:szCs w:val="32"/>
                <w:lang w:val="zh-CN"/>
              </w:rPr>
              <w:t>11</w:t>
            </w:r>
            <w:r>
              <w:rPr>
                <w:rFonts w:hint="eastAsia" w:ascii="仿宋" w:eastAsia="仿宋" w:cs="仿宋"/>
                <w:color w:val="000000"/>
                <w:kern w:val="0"/>
                <w:sz w:val="32"/>
                <w:szCs w:val="32"/>
                <w:lang w:val="zh-CN"/>
              </w:rPr>
              <w:t>月份</w:t>
            </w:r>
          </w:p>
        </w:tc>
        <w:tc>
          <w:tcPr>
            <w:tcW w:w="93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rPr>
                <w:rFonts w:ascii="仿宋" w:eastAsia="仿宋" w:cs="仿宋"/>
                <w:color w:val="000000"/>
                <w:kern w:val="0"/>
                <w:sz w:val="32"/>
                <w:szCs w:val="32"/>
                <w:lang w:val="zh-CN"/>
              </w:rPr>
            </w:pPr>
            <w:r>
              <w:rPr>
                <w:rFonts w:hint="eastAsia" w:ascii="仿宋" w:eastAsia="仿宋" w:cs="仿宋"/>
                <w:color w:val="000000"/>
                <w:kern w:val="0"/>
                <w:sz w:val="32"/>
                <w:szCs w:val="32"/>
                <w:lang w:val="zh-CN"/>
              </w:rPr>
              <w:t>开展山体环境保护立法调研</w:t>
            </w:r>
          </w:p>
        </w:tc>
      </w:tr>
    </w:tbl>
    <w:p>
      <w:pPr>
        <w:tabs>
          <w:tab w:val="left" w:pos="2410"/>
        </w:tabs>
        <w:autoSpaceDE w:val="0"/>
        <w:autoSpaceDN w:val="0"/>
        <w:adjustRightInd w:val="0"/>
        <w:spacing w:line="400" w:lineRule="exact"/>
        <w:rPr>
          <w:rFonts w:ascii="宋体" w:hAnsi="宋体"/>
          <w:b/>
          <w:color w:val="000000"/>
          <w:kern w:val="0"/>
          <w:sz w:val="44"/>
          <w:szCs w:val="44"/>
          <w:lang w:val="zh-CN"/>
        </w:rPr>
      </w:pPr>
    </w:p>
    <w:p>
      <w:pPr>
        <w:tabs>
          <w:tab w:val="left" w:pos="2410"/>
        </w:tabs>
        <w:autoSpaceDE w:val="0"/>
        <w:autoSpaceDN w:val="0"/>
        <w:adjustRightInd w:val="0"/>
        <w:spacing w:line="440" w:lineRule="exact"/>
        <w:jc w:val="center"/>
        <w:rPr>
          <w:rFonts w:ascii="仿宋" w:hAnsi="仿宋" w:eastAsia="仿宋" w:cs="仿宋"/>
          <w:b/>
          <w:bCs/>
          <w:color w:val="000000"/>
          <w:kern w:val="0"/>
          <w:sz w:val="32"/>
          <w:szCs w:val="32"/>
          <w:lang w:val="zh-CN"/>
        </w:rPr>
      </w:pPr>
      <w:r>
        <w:rPr>
          <w:rFonts w:ascii="仿宋" w:hAnsi="仿宋" w:eastAsia="仿宋"/>
          <w:b/>
          <w:color w:val="000000"/>
          <w:kern w:val="0"/>
          <w:sz w:val="44"/>
          <w:szCs w:val="44"/>
          <w:lang w:val="zh-CN"/>
        </w:rPr>
        <w:t>2019</w:t>
      </w:r>
      <w:r>
        <w:rPr>
          <w:rFonts w:hint="eastAsia" w:ascii="仿宋" w:hAnsi="仿宋" w:eastAsia="仿宋"/>
          <w:b/>
          <w:color w:val="000000"/>
          <w:kern w:val="0"/>
          <w:sz w:val="44"/>
          <w:szCs w:val="44"/>
          <w:lang w:val="zh-CN"/>
        </w:rPr>
        <w:t>年市人大常委会大型视察检查计划</w:t>
      </w:r>
    </w:p>
    <w:p>
      <w:pPr>
        <w:autoSpaceDE w:val="0"/>
        <w:autoSpaceDN w:val="0"/>
        <w:adjustRightInd w:val="0"/>
        <w:spacing w:line="400" w:lineRule="exact"/>
        <w:ind w:firstLine="640"/>
        <w:rPr>
          <w:rFonts w:ascii="仿宋" w:hAnsi="仿宋" w:eastAsia="仿宋" w:cs="仿宋"/>
          <w:b/>
          <w:bCs/>
          <w:color w:val="000000"/>
          <w:kern w:val="0"/>
          <w:sz w:val="32"/>
          <w:szCs w:val="32"/>
          <w:lang w:val="zh-CN"/>
        </w:rPr>
      </w:pPr>
      <w:r>
        <w:rPr>
          <w:rFonts w:hint="eastAsia" w:ascii="仿宋" w:hAnsi="仿宋" w:eastAsia="仿宋" w:cs="仿宋_GB2312"/>
          <w:kern w:val="0"/>
          <w:sz w:val="32"/>
          <w:szCs w:val="32"/>
          <w:lang w:val="zh-CN"/>
        </w:rPr>
        <w:t>对市政府贯彻落实</w:t>
      </w:r>
      <w:r>
        <w:rPr>
          <w:rFonts w:hint="eastAsia" w:ascii="仿宋" w:hAnsi="仿宋" w:eastAsia="仿宋" w:cs="仿宋"/>
          <w:color w:val="000000"/>
          <w:kern w:val="0"/>
          <w:sz w:val="32"/>
          <w:szCs w:val="32"/>
          <w:lang w:val="zh-CN"/>
        </w:rPr>
        <w:t>《中华人民共和国水污染防治法》和《河北省水污染防治条例》、</w:t>
      </w:r>
      <w:r>
        <w:rPr>
          <w:rFonts w:hint="eastAsia" w:ascii="仿宋" w:hAnsi="仿宋" w:eastAsia="仿宋" w:cs="仿宋_GB2312"/>
          <w:kern w:val="0"/>
          <w:sz w:val="32"/>
          <w:szCs w:val="32"/>
          <w:lang w:val="zh-CN"/>
        </w:rPr>
        <w:t>开展水污染防治工作</w:t>
      </w:r>
      <w:r>
        <w:rPr>
          <w:rFonts w:hint="eastAsia" w:ascii="仿宋" w:hAnsi="仿宋" w:eastAsia="仿宋" w:cs="仿宋"/>
          <w:color w:val="000000"/>
          <w:kern w:val="0"/>
          <w:sz w:val="32"/>
          <w:szCs w:val="32"/>
          <w:lang w:val="zh-CN"/>
        </w:rPr>
        <w:t>开展大型视察、执法检查。（</w:t>
      </w:r>
      <w:r>
        <w:rPr>
          <w:rFonts w:ascii="仿宋" w:hAnsi="仿宋" w:eastAsia="仿宋" w:cs="仿宋_GB2312"/>
          <w:kern w:val="0"/>
          <w:sz w:val="32"/>
          <w:szCs w:val="32"/>
          <w:lang w:val="zh-CN"/>
        </w:rPr>
        <w:t>9</w:t>
      </w:r>
      <w:r>
        <w:rPr>
          <w:rFonts w:hint="eastAsia" w:ascii="仿宋" w:hAnsi="仿宋" w:eastAsia="仿宋" w:cs="仿宋_GB2312"/>
          <w:kern w:val="0"/>
          <w:sz w:val="32"/>
          <w:szCs w:val="32"/>
          <w:lang w:val="zh-CN"/>
        </w:rPr>
        <w:t>月份）</w:t>
      </w:r>
    </w:p>
    <w:p>
      <w:pPr>
        <w:tabs>
          <w:tab w:val="left" w:pos="2410"/>
        </w:tabs>
        <w:autoSpaceDE w:val="0"/>
        <w:autoSpaceDN w:val="0"/>
        <w:adjustRightInd w:val="0"/>
        <w:spacing w:line="400" w:lineRule="exact"/>
        <w:rPr>
          <w:rFonts w:ascii="仿宋" w:hAnsi="仿宋" w:eastAsia="仿宋"/>
          <w:b/>
          <w:color w:val="000000"/>
          <w:kern w:val="0"/>
          <w:sz w:val="44"/>
          <w:szCs w:val="44"/>
          <w:lang w:val="zh-CN"/>
        </w:rPr>
      </w:pPr>
    </w:p>
    <w:p>
      <w:pPr>
        <w:tabs>
          <w:tab w:val="left" w:pos="2410"/>
        </w:tabs>
        <w:autoSpaceDE w:val="0"/>
        <w:autoSpaceDN w:val="0"/>
        <w:adjustRightInd w:val="0"/>
        <w:spacing w:line="440" w:lineRule="exact"/>
        <w:jc w:val="center"/>
        <w:rPr>
          <w:rFonts w:ascii="仿宋" w:hAnsi="仿宋" w:eastAsia="仿宋"/>
          <w:b/>
          <w:color w:val="000000"/>
          <w:kern w:val="0"/>
          <w:sz w:val="44"/>
          <w:szCs w:val="44"/>
          <w:lang w:val="zh-CN"/>
        </w:rPr>
      </w:pPr>
      <w:r>
        <w:rPr>
          <w:rFonts w:ascii="仿宋" w:hAnsi="仿宋" w:eastAsia="仿宋"/>
          <w:b/>
          <w:color w:val="000000"/>
          <w:kern w:val="0"/>
          <w:sz w:val="44"/>
          <w:szCs w:val="44"/>
          <w:lang w:val="zh-CN"/>
        </w:rPr>
        <w:t>2019</w:t>
      </w:r>
      <w:r>
        <w:rPr>
          <w:rFonts w:hint="eastAsia" w:ascii="仿宋" w:hAnsi="仿宋" w:eastAsia="仿宋"/>
          <w:b/>
          <w:color w:val="000000"/>
          <w:kern w:val="0"/>
          <w:sz w:val="44"/>
          <w:szCs w:val="44"/>
          <w:lang w:val="zh-CN"/>
        </w:rPr>
        <w:t>年市人大常委会专题询问计划</w:t>
      </w:r>
    </w:p>
    <w:p>
      <w:pPr>
        <w:autoSpaceDE w:val="0"/>
        <w:autoSpaceDN w:val="0"/>
        <w:adjustRightInd w:val="0"/>
        <w:spacing w:line="400" w:lineRule="exact"/>
        <w:ind w:firstLine="640" w:firstLineChars="200"/>
        <w:rPr>
          <w:rFonts w:ascii="仿宋" w:hAnsi="仿宋" w:eastAsia="仿宋" w:cs="仿宋_GB2312"/>
          <w:color w:val="000000"/>
          <w:kern w:val="0"/>
          <w:sz w:val="32"/>
          <w:szCs w:val="32"/>
          <w:lang w:val="zh-CN"/>
        </w:rPr>
      </w:pPr>
      <w:r>
        <w:rPr>
          <w:rFonts w:hint="eastAsia" w:ascii="仿宋" w:hAnsi="仿宋" w:eastAsia="仿宋" w:cs="仿宋_GB2312"/>
          <w:color w:val="000000"/>
          <w:kern w:val="0"/>
          <w:sz w:val="32"/>
          <w:szCs w:val="32"/>
          <w:lang w:val="zh-CN"/>
        </w:rPr>
        <w:t>对市政府贯彻落实《中华人民共和国水污染防治法》和《河北省水污染防治条例》、</w:t>
      </w:r>
      <w:r>
        <w:rPr>
          <w:rFonts w:hint="eastAsia" w:ascii="仿宋" w:hAnsi="仿宋" w:eastAsia="仿宋" w:cs="仿宋_GB2312"/>
          <w:kern w:val="0"/>
          <w:sz w:val="32"/>
          <w:szCs w:val="32"/>
          <w:lang w:val="zh-CN"/>
        </w:rPr>
        <w:t>开展水污染防治工作</w:t>
      </w:r>
      <w:r>
        <w:rPr>
          <w:rFonts w:hint="eastAsia" w:ascii="仿宋" w:hAnsi="仿宋" w:eastAsia="仿宋" w:cs="仿宋_GB2312"/>
          <w:color w:val="000000"/>
          <w:kern w:val="0"/>
          <w:sz w:val="32"/>
          <w:szCs w:val="32"/>
          <w:lang w:val="zh-CN"/>
        </w:rPr>
        <w:t>进行专题询问。（</w:t>
      </w:r>
      <w:r>
        <w:rPr>
          <w:rFonts w:ascii="仿宋" w:hAnsi="仿宋" w:eastAsia="仿宋" w:cs="仿宋_GB2312"/>
          <w:color w:val="000000"/>
          <w:kern w:val="0"/>
          <w:sz w:val="32"/>
          <w:szCs w:val="32"/>
          <w:lang w:val="zh-CN"/>
        </w:rPr>
        <w:t>10</w:t>
      </w:r>
      <w:r>
        <w:rPr>
          <w:rFonts w:hint="eastAsia" w:ascii="仿宋" w:hAnsi="仿宋" w:eastAsia="仿宋" w:cs="仿宋_GB2312"/>
          <w:color w:val="000000"/>
          <w:kern w:val="0"/>
          <w:sz w:val="32"/>
          <w:szCs w:val="32"/>
          <w:lang w:val="zh-CN"/>
        </w:rPr>
        <w:t>月份）</w:t>
      </w:r>
    </w:p>
    <w:p>
      <w:pPr>
        <w:tabs>
          <w:tab w:val="left" w:pos="2410"/>
        </w:tabs>
        <w:autoSpaceDE w:val="0"/>
        <w:autoSpaceDN w:val="0"/>
        <w:adjustRightInd w:val="0"/>
        <w:spacing w:line="400" w:lineRule="exact"/>
        <w:rPr>
          <w:rFonts w:ascii="仿宋" w:hAnsi="仿宋" w:eastAsia="仿宋"/>
          <w:b/>
          <w:color w:val="000000"/>
          <w:kern w:val="0"/>
          <w:sz w:val="44"/>
          <w:szCs w:val="44"/>
          <w:lang w:val="zh-CN"/>
        </w:rPr>
      </w:pPr>
    </w:p>
    <w:p>
      <w:pPr>
        <w:tabs>
          <w:tab w:val="left" w:pos="2410"/>
        </w:tabs>
        <w:autoSpaceDE w:val="0"/>
        <w:autoSpaceDN w:val="0"/>
        <w:adjustRightInd w:val="0"/>
        <w:spacing w:line="440" w:lineRule="exact"/>
        <w:jc w:val="center"/>
        <w:rPr>
          <w:rFonts w:ascii="仿宋" w:hAnsi="仿宋" w:eastAsia="仿宋"/>
          <w:b/>
          <w:color w:val="000000"/>
          <w:kern w:val="0"/>
          <w:sz w:val="44"/>
          <w:szCs w:val="44"/>
          <w:lang w:val="zh-CN"/>
        </w:rPr>
      </w:pPr>
      <w:r>
        <w:rPr>
          <w:rFonts w:ascii="仿宋" w:hAnsi="仿宋" w:eastAsia="仿宋"/>
          <w:b/>
          <w:color w:val="000000"/>
          <w:kern w:val="0"/>
          <w:sz w:val="44"/>
          <w:szCs w:val="44"/>
          <w:lang w:val="zh-CN"/>
        </w:rPr>
        <w:t>2019</w:t>
      </w:r>
      <w:r>
        <w:rPr>
          <w:rFonts w:hint="eastAsia" w:ascii="仿宋" w:hAnsi="仿宋" w:eastAsia="仿宋"/>
          <w:b/>
          <w:color w:val="000000"/>
          <w:kern w:val="0"/>
          <w:sz w:val="44"/>
          <w:szCs w:val="44"/>
          <w:lang w:val="zh-CN"/>
        </w:rPr>
        <w:t>年市人大常委会工作评议计划</w:t>
      </w:r>
    </w:p>
    <w:p>
      <w:pPr>
        <w:autoSpaceDE w:val="0"/>
        <w:autoSpaceDN w:val="0"/>
        <w:adjustRightInd w:val="0"/>
        <w:spacing w:line="400" w:lineRule="exact"/>
        <w:ind w:firstLine="480" w:firstLineChars="150"/>
        <w:rPr>
          <w:rFonts w:ascii="仿宋" w:hAnsi="仿宋" w:eastAsia="仿宋" w:cs="仿宋_GB2312"/>
          <w:color w:val="000000"/>
          <w:kern w:val="0"/>
          <w:sz w:val="32"/>
          <w:szCs w:val="32"/>
          <w:lang w:val="zh-CN"/>
        </w:rPr>
      </w:pPr>
      <w:r>
        <w:rPr>
          <w:rFonts w:hint="eastAsia" w:ascii="仿宋" w:hAnsi="仿宋" w:eastAsia="仿宋" w:cs="仿宋_GB2312"/>
          <w:color w:val="000000"/>
          <w:kern w:val="0"/>
          <w:sz w:val="32"/>
          <w:szCs w:val="32"/>
          <w:lang w:val="zh-CN"/>
        </w:rPr>
        <w:t>1、对市政府农田水利设施建设工作进行评议。（6月份）</w:t>
      </w:r>
    </w:p>
    <w:p>
      <w:pPr>
        <w:autoSpaceDE w:val="0"/>
        <w:autoSpaceDN w:val="0"/>
        <w:adjustRightInd w:val="0"/>
        <w:spacing w:line="400" w:lineRule="exact"/>
        <w:ind w:firstLine="480" w:firstLineChars="150"/>
        <w:rPr>
          <w:rFonts w:ascii="仿宋" w:hAnsi="仿宋" w:eastAsia="仿宋" w:cs="仿宋_GB2312"/>
          <w:spacing w:val="-20"/>
          <w:kern w:val="0"/>
          <w:sz w:val="32"/>
          <w:szCs w:val="32"/>
          <w:lang w:val="zh-CN"/>
        </w:rPr>
      </w:pPr>
      <w:r>
        <w:rPr>
          <w:rFonts w:hint="eastAsia" w:ascii="仿宋" w:hAnsi="仿宋" w:eastAsia="仿宋" w:cs="仿宋"/>
          <w:color w:val="000000"/>
          <w:kern w:val="0"/>
          <w:sz w:val="32"/>
          <w:szCs w:val="32"/>
          <w:lang w:val="zh-CN"/>
        </w:rPr>
        <w:t>2、对市</w:t>
      </w:r>
      <w:r>
        <w:rPr>
          <w:rFonts w:hint="eastAsia" w:ascii="仿宋" w:hAnsi="仿宋" w:eastAsia="仿宋" w:cs="仿宋_GB2312"/>
          <w:spacing w:val="-20"/>
          <w:kern w:val="0"/>
          <w:sz w:val="32"/>
          <w:szCs w:val="32"/>
          <w:lang w:val="zh-CN"/>
        </w:rPr>
        <w:t>政</w:t>
      </w:r>
      <w:r>
        <w:rPr>
          <w:rFonts w:hint="eastAsia" w:ascii="仿宋" w:hAnsi="仿宋" w:eastAsia="仿宋" w:cs="仿宋"/>
          <w:color w:val="000000"/>
          <w:kern w:val="0"/>
          <w:sz w:val="32"/>
          <w:szCs w:val="32"/>
          <w:lang w:val="zh-CN"/>
        </w:rPr>
        <w:t>府贯彻实施</w:t>
      </w:r>
      <w:r>
        <w:rPr>
          <w:rFonts w:hint="eastAsia" w:ascii="仿宋" w:hAnsi="仿宋" w:eastAsia="仿宋" w:cs="仿宋_GB2312"/>
          <w:spacing w:val="-20"/>
          <w:kern w:val="0"/>
          <w:sz w:val="32"/>
          <w:szCs w:val="32"/>
          <w:lang w:val="zh-CN"/>
        </w:rPr>
        <w:t>《中华人民共</w:t>
      </w:r>
      <w:r>
        <w:rPr>
          <w:rFonts w:hint="eastAsia" w:ascii="仿宋" w:hAnsi="仿宋" w:eastAsia="仿宋" w:cs="仿宋"/>
          <w:color w:val="000000"/>
          <w:kern w:val="0"/>
          <w:sz w:val="32"/>
          <w:szCs w:val="32"/>
          <w:lang w:val="zh-CN"/>
        </w:rPr>
        <w:t>和国传染病</w:t>
      </w:r>
      <w:r>
        <w:rPr>
          <w:rFonts w:hint="eastAsia" w:ascii="仿宋" w:hAnsi="仿宋" w:eastAsia="仿宋" w:cs="仿宋_GB2312"/>
          <w:spacing w:val="-20"/>
          <w:kern w:val="0"/>
          <w:sz w:val="32"/>
          <w:szCs w:val="32"/>
          <w:lang w:val="zh-CN"/>
        </w:rPr>
        <w:t>防</w:t>
      </w:r>
      <w:r>
        <w:rPr>
          <w:rFonts w:hint="eastAsia" w:ascii="仿宋" w:hAnsi="仿宋" w:eastAsia="仿宋" w:cs="仿宋"/>
          <w:color w:val="000000"/>
          <w:kern w:val="0"/>
          <w:sz w:val="32"/>
          <w:szCs w:val="32"/>
          <w:lang w:val="zh-CN"/>
        </w:rPr>
        <w:t>治法》和《中</w:t>
      </w:r>
      <w:r>
        <w:rPr>
          <w:rFonts w:hint="eastAsia" w:ascii="仿宋" w:hAnsi="仿宋" w:eastAsia="仿宋" w:cs="仿宋_GB2312"/>
          <w:spacing w:val="-20"/>
          <w:kern w:val="0"/>
          <w:sz w:val="32"/>
          <w:szCs w:val="32"/>
          <w:lang w:val="zh-CN"/>
        </w:rPr>
        <w:t>华人民共</w:t>
      </w:r>
      <w:r>
        <w:rPr>
          <w:rFonts w:hint="eastAsia" w:ascii="仿宋" w:hAnsi="仿宋" w:eastAsia="仿宋" w:cs="仿宋"/>
          <w:color w:val="000000"/>
          <w:kern w:val="0"/>
          <w:sz w:val="32"/>
          <w:szCs w:val="32"/>
          <w:lang w:val="zh-CN"/>
        </w:rPr>
        <w:t>和国传染病</w:t>
      </w:r>
      <w:r>
        <w:rPr>
          <w:rFonts w:hint="eastAsia" w:ascii="仿宋" w:hAnsi="仿宋" w:eastAsia="仿宋" w:cs="仿宋_GB2312"/>
          <w:spacing w:val="-20"/>
          <w:kern w:val="0"/>
          <w:sz w:val="32"/>
          <w:szCs w:val="32"/>
          <w:lang w:val="zh-CN"/>
        </w:rPr>
        <w:t>防</w:t>
      </w:r>
      <w:r>
        <w:rPr>
          <w:rFonts w:hint="eastAsia" w:ascii="仿宋" w:hAnsi="仿宋" w:eastAsia="仿宋" w:cs="仿宋"/>
          <w:color w:val="000000"/>
          <w:kern w:val="0"/>
          <w:sz w:val="32"/>
          <w:szCs w:val="32"/>
          <w:lang w:val="zh-CN"/>
        </w:rPr>
        <w:t>治</w:t>
      </w:r>
      <w:r>
        <w:rPr>
          <w:rFonts w:hint="eastAsia" w:ascii="仿宋" w:hAnsi="仿宋" w:eastAsia="仿宋" w:cs="仿宋_GB2312"/>
          <w:spacing w:val="-20"/>
          <w:kern w:val="0"/>
          <w:sz w:val="32"/>
          <w:szCs w:val="32"/>
          <w:lang w:val="zh-CN"/>
        </w:rPr>
        <w:t>法</w:t>
      </w:r>
      <w:r>
        <w:rPr>
          <w:rFonts w:hint="eastAsia" w:ascii="仿宋" w:hAnsi="仿宋" w:eastAsia="仿宋" w:cs="仿宋"/>
          <w:color w:val="000000"/>
          <w:kern w:val="0"/>
          <w:sz w:val="32"/>
          <w:szCs w:val="32"/>
          <w:lang w:val="zh-CN"/>
        </w:rPr>
        <w:t>实施办法</w:t>
      </w:r>
      <w:r>
        <w:rPr>
          <w:rFonts w:hint="eastAsia" w:ascii="仿宋" w:hAnsi="仿宋" w:eastAsia="仿宋" w:cs="仿宋_GB2312"/>
          <w:spacing w:val="-20"/>
          <w:kern w:val="0"/>
          <w:sz w:val="32"/>
          <w:szCs w:val="32"/>
          <w:lang w:val="zh-CN"/>
        </w:rPr>
        <w:t>》工作进行评议。（</w:t>
      </w:r>
      <w:r>
        <w:rPr>
          <w:rFonts w:ascii="仿宋" w:hAnsi="仿宋" w:eastAsia="仿宋" w:cs="仿宋_GB2312"/>
          <w:spacing w:val="-20"/>
          <w:kern w:val="0"/>
          <w:sz w:val="32"/>
          <w:szCs w:val="32"/>
          <w:lang w:val="zh-CN"/>
        </w:rPr>
        <w:t>10</w:t>
      </w:r>
      <w:r>
        <w:rPr>
          <w:rFonts w:hint="eastAsia" w:ascii="仿宋" w:hAnsi="仿宋" w:eastAsia="仿宋" w:cs="仿宋_GB2312"/>
          <w:spacing w:val="-20"/>
          <w:kern w:val="0"/>
          <w:sz w:val="32"/>
          <w:szCs w:val="32"/>
          <w:lang w:val="zh-CN"/>
        </w:rPr>
        <w:t>月份）</w:t>
      </w:r>
    </w:p>
    <w:p>
      <w:pPr>
        <w:tabs>
          <w:tab w:val="left" w:pos="2410"/>
        </w:tabs>
        <w:autoSpaceDE w:val="0"/>
        <w:autoSpaceDN w:val="0"/>
        <w:adjustRightInd w:val="0"/>
        <w:spacing w:line="440" w:lineRule="exact"/>
        <w:jc w:val="center"/>
        <w:rPr>
          <w:rFonts w:ascii="仿宋" w:hAnsi="仿宋" w:eastAsia="仿宋"/>
          <w:b/>
          <w:color w:val="000000"/>
          <w:kern w:val="0"/>
          <w:sz w:val="44"/>
          <w:szCs w:val="44"/>
          <w:lang w:val="zh-CN"/>
        </w:rPr>
      </w:pPr>
      <w:r>
        <w:rPr>
          <w:rFonts w:ascii="仿宋" w:hAnsi="仿宋" w:eastAsia="仿宋"/>
          <w:b/>
          <w:color w:val="000000"/>
          <w:kern w:val="0"/>
          <w:sz w:val="44"/>
          <w:szCs w:val="44"/>
          <w:lang w:val="zh-CN"/>
        </w:rPr>
        <w:t>2019</w:t>
      </w:r>
      <w:r>
        <w:rPr>
          <w:rFonts w:hint="eastAsia" w:ascii="仿宋" w:hAnsi="仿宋" w:eastAsia="仿宋"/>
          <w:b/>
          <w:color w:val="000000"/>
          <w:kern w:val="0"/>
          <w:sz w:val="44"/>
          <w:szCs w:val="44"/>
          <w:lang w:val="zh-CN"/>
        </w:rPr>
        <w:t>年市人大常委会</w:t>
      </w:r>
    </w:p>
    <w:p>
      <w:pPr>
        <w:tabs>
          <w:tab w:val="left" w:pos="2410"/>
        </w:tabs>
        <w:autoSpaceDE w:val="0"/>
        <w:autoSpaceDN w:val="0"/>
        <w:adjustRightInd w:val="0"/>
        <w:spacing w:line="440" w:lineRule="exact"/>
        <w:jc w:val="center"/>
        <w:rPr>
          <w:rFonts w:ascii="仿宋" w:hAnsi="仿宋" w:eastAsia="仿宋"/>
          <w:b/>
          <w:color w:val="000000"/>
          <w:kern w:val="0"/>
          <w:sz w:val="44"/>
          <w:szCs w:val="44"/>
          <w:lang w:val="zh-CN"/>
        </w:rPr>
      </w:pPr>
      <w:r>
        <w:rPr>
          <w:rFonts w:hint="eastAsia" w:ascii="仿宋" w:hAnsi="仿宋" w:eastAsia="仿宋"/>
          <w:b/>
          <w:color w:val="000000"/>
          <w:kern w:val="0"/>
          <w:sz w:val="44"/>
          <w:szCs w:val="44"/>
          <w:lang w:val="zh-CN"/>
        </w:rPr>
        <w:t>主题教育及履职学习计划</w:t>
      </w:r>
    </w:p>
    <w:p>
      <w:pPr>
        <w:autoSpaceDE w:val="0"/>
        <w:autoSpaceDN w:val="0"/>
        <w:adjustRightInd w:val="0"/>
        <w:spacing w:line="400" w:lineRule="exact"/>
        <w:ind w:firstLine="480" w:firstLineChars="150"/>
        <w:rPr>
          <w:rFonts w:ascii="仿宋" w:hAnsi="仿宋" w:eastAsia="仿宋" w:cs="仿宋_GB2312"/>
          <w:kern w:val="0"/>
          <w:sz w:val="32"/>
          <w:szCs w:val="32"/>
          <w:lang w:val="zh-CN"/>
        </w:rPr>
      </w:pPr>
      <w:r>
        <w:rPr>
          <w:rFonts w:ascii="仿宋" w:hAnsi="仿宋" w:eastAsia="仿宋" w:cs="仿宋_GB2312"/>
          <w:kern w:val="0"/>
          <w:sz w:val="32"/>
          <w:szCs w:val="32"/>
          <w:lang w:val="zh-CN"/>
        </w:rPr>
        <w:t>1</w:t>
      </w:r>
      <w:r>
        <w:rPr>
          <w:rFonts w:hint="eastAsia" w:ascii="仿宋" w:hAnsi="仿宋" w:eastAsia="仿宋" w:cs="仿宋_GB2312"/>
          <w:kern w:val="0"/>
          <w:sz w:val="32"/>
          <w:szCs w:val="32"/>
          <w:lang w:val="zh-CN"/>
        </w:rPr>
        <w:t>、深入开展</w:t>
      </w:r>
      <w:r>
        <w:rPr>
          <w:rFonts w:ascii="仿宋" w:hAnsi="仿宋" w:eastAsia="仿宋" w:cs="仿宋_GB2312"/>
          <w:kern w:val="0"/>
          <w:sz w:val="32"/>
          <w:szCs w:val="32"/>
          <w:lang w:val="zh-CN"/>
        </w:rPr>
        <w:t>“</w:t>
      </w:r>
      <w:r>
        <w:rPr>
          <w:rFonts w:hint="eastAsia" w:ascii="仿宋" w:hAnsi="仿宋" w:eastAsia="仿宋" w:cs="仿宋_GB2312"/>
          <w:kern w:val="0"/>
          <w:sz w:val="32"/>
          <w:szCs w:val="32"/>
          <w:lang w:val="zh-CN"/>
        </w:rPr>
        <w:t>不忘初心、牢记使命</w:t>
      </w:r>
      <w:r>
        <w:rPr>
          <w:rFonts w:ascii="仿宋" w:hAnsi="仿宋" w:eastAsia="仿宋" w:cs="仿宋_GB2312"/>
          <w:kern w:val="0"/>
          <w:sz w:val="32"/>
          <w:szCs w:val="32"/>
          <w:lang w:val="zh-CN"/>
        </w:rPr>
        <w:t>”</w:t>
      </w:r>
      <w:r>
        <w:rPr>
          <w:rFonts w:hint="eastAsia" w:ascii="仿宋" w:hAnsi="仿宋" w:eastAsia="仿宋" w:cs="仿宋_GB2312"/>
          <w:kern w:val="0"/>
          <w:sz w:val="32"/>
          <w:szCs w:val="32"/>
          <w:lang w:val="zh-CN"/>
        </w:rPr>
        <w:t>主题教育。（全年）</w:t>
      </w:r>
    </w:p>
    <w:p>
      <w:pPr>
        <w:autoSpaceDE w:val="0"/>
        <w:autoSpaceDN w:val="0"/>
        <w:adjustRightInd w:val="0"/>
        <w:spacing w:line="400" w:lineRule="exact"/>
        <w:ind w:firstLine="480" w:firstLineChars="150"/>
        <w:rPr>
          <w:rFonts w:ascii="仿宋" w:hAnsi="仿宋" w:eastAsia="仿宋" w:cs="仿宋_GB2312"/>
          <w:color w:val="000000"/>
          <w:kern w:val="0"/>
          <w:sz w:val="32"/>
          <w:szCs w:val="32"/>
          <w:lang w:val="zh-CN"/>
        </w:rPr>
      </w:pPr>
      <w:r>
        <w:rPr>
          <w:rFonts w:ascii="仿宋" w:hAnsi="仿宋" w:eastAsia="仿宋" w:cs="仿宋_GB2312"/>
          <w:color w:val="000000"/>
          <w:kern w:val="0"/>
          <w:sz w:val="32"/>
          <w:szCs w:val="32"/>
          <w:lang w:val="zh-CN"/>
        </w:rPr>
        <w:t>2</w:t>
      </w:r>
      <w:r>
        <w:rPr>
          <w:rFonts w:hint="eastAsia" w:ascii="仿宋" w:hAnsi="仿宋" w:eastAsia="仿宋" w:cs="仿宋_GB2312"/>
          <w:color w:val="000000"/>
          <w:kern w:val="0"/>
          <w:sz w:val="32"/>
          <w:szCs w:val="32"/>
          <w:lang w:val="zh-CN"/>
        </w:rPr>
        <w:t>、举办学习《中华人民共和国立法法》专题讲座。（</w:t>
      </w:r>
      <w:r>
        <w:rPr>
          <w:rFonts w:ascii="仿宋" w:hAnsi="仿宋" w:eastAsia="仿宋" w:cs="仿宋_GB2312"/>
          <w:color w:val="000000"/>
          <w:kern w:val="0"/>
          <w:sz w:val="32"/>
          <w:szCs w:val="32"/>
          <w:lang w:val="zh-CN"/>
        </w:rPr>
        <w:t>6</w:t>
      </w:r>
      <w:r>
        <w:rPr>
          <w:rFonts w:hint="eastAsia" w:ascii="仿宋" w:hAnsi="仿宋" w:eastAsia="仿宋" w:cs="仿宋_GB2312"/>
          <w:color w:val="000000"/>
          <w:kern w:val="0"/>
          <w:sz w:val="32"/>
          <w:szCs w:val="32"/>
          <w:lang w:val="zh-CN"/>
        </w:rPr>
        <w:t>月份）</w:t>
      </w:r>
    </w:p>
    <w:p>
      <w:pPr>
        <w:autoSpaceDE w:val="0"/>
        <w:autoSpaceDN w:val="0"/>
        <w:adjustRightInd w:val="0"/>
        <w:spacing w:line="400" w:lineRule="exact"/>
        <w:ind w:firstLine="480" w:firstLineChars="150"/>
        <w:rPr>
          <w:rFonts w:ascii="仿宋" w:hAnsi="仿宋" w:eastAsia="仿宋" w:cs="仿宋"/>
          <w:b/>
          <w:bCs/>
          <w:color w:val="000000"/>
          <w:spacing w:val="-12"/>
          <w:kern w:val="0"/>
          <w:sz w:val="32"/>
          <w:szCs w:val="32"/>
          <w:lang w:val="zh-CN"/>
        </w:rPr>
      </w:pPr>
      <w:r>
        <w:rPr>
          <w:rFonts w:ascii="仿宋" w:hAnsi="仿宋" w:eastAsia="仿宋" w:cs="仿宋_GB2312"/>
          <w:color w:val="000000"/>
          <w:kern w:val="0"/>
          <w:sz w:val="32"/>
          <w:szCs w:val="32"/>
          <w:lang w:val="zh-CN"/>
        </w:rPr>
        <w:t>3</w:t>
      </w:r>
      <w:r>
        <w:rPr>
          <w:rFonts w:hint="eastAsia" w:ascii="仿宋" w:hAnsi="仿宋" w:eastAsia="仿宋" w:cs="仿宋_GB2312"/>
          <w:color w:val="000000"/>
          <w:kern w:val="0"/>
          <w:sz w:val="32"/>
          <w:szCs w:val="32"/>
          <w:lang w:val="zh-CN"/>
        </w:rPr>
        <w:t>、围绕</w:t>
      </w:r>
      <w:r>
        <w:rPr>
          <w:rFonts w:ascii="仿宋" w:hAnsi="仿宋" w:eastAsia="仿宋" w:cs="仿宋_GB2312"/>
          <w:color w:val="000000"/>
          <w:kern w:val="0"/>
          <w:sz w:val="32"/>
          <w:szCs w:val="32"/>
          <w:lang w:val="zh-CN"/>
        </w:rPr>
        <w:t>“</w:t>
      </w:r>
      <w:r>
        <w:rPr>
          <w:rFonts w:hint="eastAsia" w:ascii="仿宋" w:hAnsi="仿宋" w:eastAsia="仿宋" w:cs="仿宋_GB2312"/>
          <w:color w:val="000000"/>
          <w:kern w:val="0"/>
          <w:sz w:val="32"/>
          <w:szCs w:val="32"/>
          <w:lang w:val="zh-CN"/>
        </w:rPr>
        <w:t>推进新时代生态文明建设</w:t>
      </w:r>
      <w:r>
        <w:rPr>
          <w:rFonts w:ascii="仿宋" w:hAnsi="仿宋" w:eastAsia="仿宋" w:cs="仿宋_GB2312"/>
          <w:color w:val="000000"/>
          <w:kern w:val="0"/>
          <w:sz w:val="32"/>
          <w:szCs w:val="32"/>
          <w:lang w:val="zh-CN"/>
        </w:rPr>
        <w:t>”</w:t>
      </w:r>
      <w:r>
        <w:rPr>
          <w:rFonts w:hint="eastAsia" w:ascii="仿宋" w:hAnsi="仿宋" w:eastAsia="仿宋" w:cs="仿宋_GB2312"/>
          <w:color w:val="000000"/>
          <w:kern w:val="0"/>
          <w:sz w:val="32"/>
          <w:szCs w:val="32"/>
          <w:lang w:val="zh-CN"/>
        </w:rPr>
        <w:t>举办专题讲座</w:t>
      </w:r>
      <w:r>
        <w:rPr>
          <w:rFonts w:hint="eastAsia" w:ascii="仿宋" w:hAnsi="仿宋" w:eastAsia="仿宋" w:cs="仿宋_GB2312"/>
          <w:color w:val="000000"/>
          <w:spacing w:val="-12"/>
          <w:kern w:val="0"/>
          <w:sz w:val="32"/>
          <w:szCs w:val="32"/>
          <w:lang w:val="zh-CN"/>
        </w:rPr>
        <w:t>。（</w:t>
      </w:r>
      <w:r>
        <w:rPr>
          <w:rFonts w:ascii="仿宋" w:hAnsi="仿宋" w:eastAsia="仿宋" w:cs="仿宋_GB2312"/>
          <w:color w:val="000000"/>
          <w:spacing w:val="-12"/>
          <w:kern w:val="0"/>
          <w:sz w:val="32"/>
          <w:szCs w:val="32"/>
          <w:lang w:val="zh-CN"/>
        </w:rPr>
        <w:t>10</w:t>
      </w:r>
      <w:r>
        <w:rPr>
          <w:rFonts w:hint="eastAsia" w:ascii="仿宋" w:hAnsi="仿宋" w:eastAsia="仿宋" w:cs="仿宋_GB2312"/>
          <w:color w:val="000000"/>
          <w:spacing w:val="-12"/>
          <w:kern w:val="0"/>
          <w:sz w:val="32"/>
          <w:szCs w:val="32"/>
          <w:lang w:val="zh-CN"/>
        </w:rPr>
        <w:t>月份）</w:t>
      </w:r>
    </w:p>
    <w:p>
      <w:pPr>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实现年度发展规划目标的保障措施：</w:t>
      </w:r>
    </w:p>
    <w:p>
      <w:pPr>
        <w:spacing w:line="614" w:lineRule="exact"/>
        <w:ind w:firstLine="640" w:firstLineChars="200"/>
        <w:contextualSpacing/>
        <w:rPr>
          <w:rFonts w:ascii="仿宋" w:hAnsi="仿宋" w:eastAsia="仿宋" w:cs="汉仪粗仿宋简"/>
          <w:sz w:val="32"/>
          <w:szCs w:val="32"/>
        </w:rPr>
      </w:pPr>
      <w:r>
        <w:rPr>
          <w:rFonts w:hint="eastAsia" w:ascii="仿宋" w:hAnsi="仿宋" w:eastAsia="仿宋" w:cs="汉仪中黑简"/>
          <w:sz w:val="32"/>
          <w:szCs w:val="32"/>
        </w:rPr>
        <w:t>（一）强化政治自觉，坚定正确政治方向。</w:t>
      </w:r>
      <w:r>
        <w:rPr>
          <w:rFonts w:hint="eastAsia" w:ascii="仿宋" w:hAnsi="仿宋" w:eastAsia="仿宋" w:cs="汉仪粗仿宋简"/>
          <w:sz w:val="32"/>
          <w:szCs w:val="32"/>
        </w:rPr>
        <w:t>坚持用习近平新时代中国特色社会主义思想武装头脑、引领航向，树牢“四个意识”、坚定“四个自信”、坚决落实“两个维护”，确保人大工作始终沿着正确政治方向前进。深入学习贯彻习近平总书记关于坚持和完善人民代表大会制度的</w:t>
      </w:r>
      <w:bookmarkStart w:id="2" w:name="_GoBack"/>
      <w:bookmarkEnd w:id="2"/>
      <w:r>
        <w:rPr>
          <w:rFonts w:hint="eastAsia" w:ascii="仿宋" w:hAnsi="仿宋" w:eastAsia="仿宋" w:cs="汉仪粗仿宋简"/>
          <w:sz w:val="32"/>
          <w:szCs w:val="32"/>
        </w:rPr>
        <w:t>重要思想，深刻领会新时代人大工作的新部署新要求，提升依法履职新境界，推进人大工作新实践。坚持在全局中谋划、在大局下行动，紧扣市委中心工作，找准切入点、抓住关键点、打造新亮点。就全市改革发展和民生领域重要事项，及时作出决议决定，转化为全体人民共同意志。坚持党管干部与依法任免相统一，认真做好任免工作，保障国家机关正常运转。</w:t>
      </w:r>
    </w:p>
    <w:p>
      <w:pPr>
        <w:spacing w:line="614" w:lineRule="exact"/>
        <w:ind w:firstLine="640" w:firstLineChars="200"/>
        <w:contextualSpacing/>
        <w:rPr>
          <w:rFonts w:ascii="仿宋" w:hAnsi="仿宋" w:eastAsia="仿宋" w:cs="汉仪粗仿宋简"/>
          <w:sz w:val="32"/>
          <w:szCs w:val="32"/>
        </w:rPr>
      </w:pPr>
      <w:r>
        <w:rPr>
          <w:rFonts w:hint="eastAsia" w:ascii="仿宋" w:hAnsi="仿宋" w:eastAsia="仿宋" w:cs="汉仪中黑简"/>
          <w:sz w:val="32"/>
          <w:szCs w:val="32"/>
        </w:rPr>
        <w:t>(二)强化立法主导，不断深化法治实践。</w:t>
      </w:r>
      <w:r>
        <w:rPr>
          <w:rFonts w:hint="eastAsia" w:ascii="仿宋" w:hAnsi="仿宋" w:eastAsia="仿宋" w:cs="汉仪粗仿宋简"/>
          <w:sz w:val="32"/>
          <w:szCs w:val="32"/>
        </w:rPr>
        <w:t>坚持科学立法、民主立法、依法立法，坚持立法与改革决策相衔接，突出立法质量这个关键，发挥立法主导作用，立有效管用之法、百姓拥护之法。认真组织实施2019年立法计划，对城市供热管理条例、城市物业管理条例、工业遗产保护与利用条例进行审议，对农村环境卫生管理条例、城市机动车停车场所建设和管理条例、养犬管理条例进行预审，围绕草原生态保护、山体环境保护、历史文化街区保护、旅游市场管理等7个立法项目开展立法调研。加强规范性文件备案审查，维护法制的统一和权威。</w:t>
      </w:r>
    </w:p>
    <w:p>
      <w:pPr>
        <w:spacing w:line="614" w:lineRule="exact"/>
        <w:ind w:firstLine="640" w:firstLineChars="200"/>
        <w:contextualSpacing/>
        <w:rPr>
          <w:rFonts w:ascii="仿宋" w:hAnsi="仿宋" w:eastAsia="仿宋" w:cs="汉仪粗仿宋简"/>
          <w:sz w:val="32"/>
          <w:szCs w:val="32"/>
        </w:rPr>
      </w:pPr>
      <w:r>
        <w:rPr>
          <w:rFonts w:hint="eastAsia" w:ascii="仿宋" w:hAnsi="仿宋" w:eastAsia="仿宋" w:cs="汉仪中黑简"/>
          <w:sz w:val="32"/>
          <w:szCs w:val="32"/>
        </w:rPr>
        <w:t>（三）强化监督实效，推动承德高质量发展。</w:t>
      </w:r>
      <w:r>
        <w:rPr>
          <w:rFonts w:hint="eastAsia" w:ascii="仿宋" w:hAnsi="仿宋" w:eastAsia="仿宋" w:cs="汉仪粗仿宋简"/>
          <w:sz w:val="32"/>
          <w:szCs w:val="32"/>
        </w:rPr>
        <w:t>牢固树立新发展理念，坚持以人民为中心，围绕市委全力打好“六大攻坚战”的工作部署，聚焦改革发展重点问题、创新创业难点问题、群众关注的热点问题，加强工作监督和法律监督，增强监督刚性，确保监督实效。对脱贫攻坚、经济运行、开发区改革、交通基础设施建设、农田水利设施建设、发展新型农业经营主体、风景名胜区管理等工作进行视察和调研，对水污染防治法、食品安全法、传染病防治法、宗教事务条例等法律法规开展执法检查，听取审议法治政府建设、民事审判、行政执法与刑事司法衔接等工作报告，对法官检察官履职情况进行评议。积极支持监察委员会发挥作用，形成监督工作合力。</w:t>
      </w:r>
    </w:p>
    <w:p>
      <w:pPr>
        <w:spacing w:line="614" w:lineRule="exact"/>
        <w:ind w:firstLine="640" w:firstLineChars="200"/>
        <w:contextualSpacing/>
        <w:rPr>
          <w:rFonts w:ascii="仿宋" w:hAnsi="仿宋" w:eastAsia="仿宋" w:cs="汉仪粗仿宋简"/>
          <w:sz w:val="32"/>
          <w:szCs w:val="32"/>
        </w:rPr>
      </w:pPr>
      <w:r>
        <w:rPr>
          <w:rFonts w:hint="eastAsia" w:ascii="仿宋" w:hAnsi="仿宋" w:eastAsia="仿宋" w:cs="汉仪中黑简"/>
          <w:sz w:val="32"/>
          <w:szCs w:val="32"/>
        </w:rPr>
        <w:t>（四）</w:t>
      </w:r>
      <w:r>
        <w:rPr>
          <w:rFonts w:hint="eastAsia" w:ascii="仿宋" w:hAnsi="仿宋" w:eastAsia="仿宋" w:cs="汉仪中黑简"/>
          <w:spacing w:val="-6"/>
          <w:sz w:val="32"/>
          <w:szCs w:val="32"/>
        </w:rPr>
        <w:t>强化服务保障，更好发挥代表作用。</w:t>
      </w:r>
      <w:r>
        <w:rPr>
          <w:rFonts w:hint="eastAsia" w:ascii="仿宋" w:hAnsi="仿宋" w:eastAsia="仿宋" w:cs="汉仪粗仿宋简"/>
          <w:spacing w:val="-6"/>
          <w:sz w:val="32"/>
          <w:szCs w:val="32"/>
        </w:rPr>
        <w:t>牢固树立以代表为中心的工作导向，尊重代表主体地位，保障代表依法履职，发挥代表主体作用。健全常委会联系代表、代表联系群众工作机制和平台, 畅通人民群众诉求表达渠道。加强代表培训，强化代表履职管理，组织代表开展调研、视察和执法检查，丰富代表履职活动。强化管理，完善功能，打造精品，扎实推进“代表之家”建设，充分发挥主渠道主阵地作用。深入开展“脱贫攻坚再聚力，人大代表展风采”活动，全力支持和保障脱贫攻坚取得决定性胜利。加大代表议案建议督办力度，探索实施承办单位向常委会会议报告建议办理情况和满意度测评,保证建议办理的质量和效果。</w:t>
      </w:r>
    </w:p>
    <w:p>
      <w:pPr>
        <w:spacing w:line="614" w:lineRule="exact"/>
        <w:ind w:firstLine="640" w:firstLineChars="200"/>
        <w:contextualSpacing/>
        <w:rPr>
          <w:rFonts w:ascii="仿宋" w:hAnsi="仿宋" w:eastAsia="仿宋" w:cs="汉仪粗仿宋简"/>
          <w:sz w:val="32"/>
          <w:szCs w:val="32"/>
        </w:rPr>
      </w:pPr>
      <w:r>
        <w:rPr>
          <w:rFonts w:hint="eastAsia" w:ascii="仿宋" w:hAnsi="仿宋" w:eastAsia="仿宋" w:cs="汉仪中黑简"/>
          <w:sz w:val="32"/>
          <w:szCs w:val="32"/>
        </w:rPr>
        <w:t>（五）强化严实并举，切实打牢履职根基。</w:t>
      </w:r>
      <w:r>
        <w:rPr>
          <w:rFonts w:hint="eastAsia" w:ascii="仿宋" w:hAnsi="仿宋" w:eastAsia="仿宋" w:cs="汉仪粗仿宋简"/>
          <w:sz w:val="32"/>
          <w:szCs w:val="32"/>
        </w:rPr>
        <w:t>坚决贯彻全面从严治党要求，大力推进政治建设、思想建设、组织建设、作风建设、纪律建设，深入推进反腐败斗争，努力建设政治过硬的权力机关、作风优良的工作机关、人民满意的代表机关。把政治建设摆在首位，毫不松懈抓好理论武装，加强党性锻炼，坚定理想信念，筑牢立场根基。持续整治“四风”，密切联系群众，保持“一线”状态，焕发奋进激情，以更高标准、更严要求、更实举措履职行权，推动人大工作更加高效、更具活力。健全人大组织制度和工作制度，加强人大制度宣传和理论研究，推进县乡人大工作和建设，建设高素质干部队伍，实现新时代新担当新作为。</w:t>
      </w:r>
    </w:p>
    <w:p>
      <w:pPr>
        <w:outlineLvl w:val="0"/>
        <w:rPr>
          <w:rFonts w:ascii="方正小标宋_GBK" w:eastAsia="方正小标宋_GBK"/>
          <w:sz w:val="32"/>
        </w:rPr>
      </w:pPr>
      <w:bookmarkStart w:id="1" w:name="_Toc503971524"/>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bookmarkEnd w:id="1"/>
    </w:p>
    <w:tbl>
      <w:tblPr>
        <w:tblStyle w:val="4"/>
        <w:tblW w:w="14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92"/>
        <w:gridCol w:w="4223"/>
        <w:gridCol w:w="2865"/>
        <w:gridCol w:w="1842"/>
        <w:gridCol w:w="784"/>
        <w:gridCol w:w="709"/>
        <w:gridCol w:w="709"/>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249"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承德市人民代表大会常务委员会办公室</w:t>
            </w:r>
          </w:p>
        </w:tc>
        <w:tc>
          <w:tcPr>
            <w:tcW w:w="2910"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1327"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992"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w:t>
            </w:r>
          </w:p>
          <w:p>
            <w:pPr>
              <w:spacing w:line="300" w:lineRule="exact"/>
              <w:jc w:val="center"/>
              <w:rPr>
                <w:rFonts w:ascii="方正书宋_GBK" w:eastAsia="方正书宋_GBK"/>
                <w:b/>
              </w:rPr>
            </w:pPr>
            <w:r>
              <w:rPr>
                <w:rFonts w:hint="eastAsia" w:ascii="方正书宋_GBK" w:eastAsia="方正书宋_GBK"/>
                <w:b/>
              </w:rPr>
              <w:t>预算数</w:t>
            </w:r>
          </w:p>
        </w:tc>
        <w:tc>
          <w:tcPr>
            <w:tcW w:w="4223"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865"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842"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10"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blHeader/>
          <w:jc w:val="center"/>
        </w:trPr>
        <w:tc>
          <w:tcPr>
            <w:tcW w:w="1327" w:type="dxa"/>
            <w:vMerge w:val="continue"/>
            <w:vAlign w:val="center"/>
          </w:tcPr>
          <w:p>
            <w:pPr>
              <w:spacing w:line="300" w:lineRule="exact"/>
              <w:jc w:val="left"/>
              <w:outlineLvl w:val="0"/>
            </w:pPr>
          </w:p>
        </w:tc>
        <w:tc>
          <w:tcPr>
            <w:tcW w:w="992" w:type="dxa"/>
            <w:vMerge w:val="continue"/>
            <w:vAlign w:val="center"/>
          </w:tcPr>
          <w:p>
            <w:pPr>
              <w:spacing w:line="300" w:lineRule="exact"/>
              <w:jc w:val="left"/>
              <w:outlineLvl w:val="0"/>
            </w:pPr>
          </w:p>
        </w:tc>
        <w:tc>
          <w:tcPr>
            <w:tcW w:w="4223" w:type="dxa"/>
            <w:vMerge w:val="continue"/>
            <w:vAlign w:val="center"/>
          </w:tcPr>
          <w:p>
            <w:pPr>
              <w:spacing w:line="300" w:lineRule="exact"/>
              <w:jc w:val="left"/>
              <w:outlineLvl w:val="0"/>
            </w:pPr>
          </w:p>
        </w:tc>
        <w:tc>
          <w:tcPr>
            <w:tcW w:w="2865" w:type="dxa"/>
            <w:vMerge w:val="continue"/>
            <w:vAlign w:val="center"/>
          </w:tcPr>
          <w:p>
            <w:pPr>
              <w:spacing w:line="300" w:lineRule="exact"/>
              <w:jc w:val="left"/>
              <w:outlineLvl w:val="0"/>
            </w:pPr>
          </w:p>
        </w:tc>
        <w:tc>
          <w:tcPr>
            <w:tcW w:w="1842" w:type="dxa"/>
            <w:vMerge w:val="continue"/>
            <w:vAlign w:val="center"/>
          </w:tcPr>
          <w:p>
            <w:pPr>
              <w:spacing w:line="300" w:lineRule="exact"/>
              <w:jc w:val="left"/>
              <w:outlineLvl w:val="0"/>
            </w:pPr>
          </w:p>
        </w:tc>
        <w:tc>
          <w:tcPr>
            <w:tcW w:w="784"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09"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09"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08"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4" w:hRule="atLeast"/>
          <w:jc w:val="center"/>
        </w:trPr>
        <w:tc>
          <w:tcPr>
            <w:tcW w:w="1327" w:type="dxa"/>
            <w:vMerge w:val="restart"/>
            <w:vAlign w:val="center"/>
          </w:tcPr>
          <w:p>
            <w:pPr>
              <w:spacing w:line="300" w:lineRule="exact"/>
              <w:jc w:val="center"/>
              <w:rPr>
                <w:rFonts w:ascii="宋体" w:hAnsi="宋体" w:cs="宋体"/>
                <w:b/>
                <w:sz w:val="18"/>
                <w:szCs w:val="18"/>
              </w:rPr>
            </w:pPr>
            <w:r>
              <w:rPr>
                <w:rFonts w:hint="eastAsia" w:ascii="宋体" w:hAnsi="宋体" w:cs="宋体"/>
                <w:b/>
                <w:sz w:val="18"/>
                <w:szCs w:val="18"/>
              </w:rPr>
              <w:t>人大立法</w:t>
            </w:r>
          </w:p>
        </w:tc>
        <w:tc>
          <w:tcPr>
            <w:tcW w:w="992" w:type="dxa"/>
            <w:vMerge w:val="restart"/>
            <w:vAlign w:val="center"/>
          </w:tcPr>
          <w:p>
            <w:pPr>
              <w:spacing w:line="300" w:lineRule="exact"/>
              <w:jc w:val="center"/>
              <w:rPr>
                <w:rFonts w:ascii="宋体" w:hAnsi="宋体" w:cs="宋体"/>
                <w:b/>
                <w:sz w:val="18"/>
                <w:szCs w:val="18"/>
              </w:rPr>
            </w:pPr>
            <w:r>
              <w:rPr>
                <w:rFonts w:hint="eastAsia" w:ascii="宋体" w:hAnsi="宋体" w:cs="宋体"/>
                <w:b/>
                <w:sz w:val="18"/>
                <w:szCs w:val="18"/>
              </w:rPr>
              <w:t>30</w:t>
            </w:r>
          </w:p>
        </w:tc>
        <w:tc>
          <w:tcPr>
            <w:tcW w:w="4223" w:type="dxa"/>
            <w:vMerge w:val="restart"/>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组织起草地方性法规，修改法规和督促制定配套政府规章；开展立法后评估工作；制定市人大常委会“五年立法规划”、“年度立法计划”；开展法规编纂及法规释义、地方性法规清理活动；审查批准较大市的地方性法规。负责全市人大常委会及有关部门法律草案征求意见工作；对地方性法规（草案）进行调研论证和修改；开展立法调研，就立法事项进行研讨；对全市立法人员进行培训；组织专家对法规草案进行论证，必要时组织立法听证会。</w:t>
            </w:r>
          </w:p>
        </w:tc>
        <w:tc>
          <w:tcPr>
            <w:tcW w:w="2865" w:type="dxa"/>
            <w:vMerge w:val="restart"/>
            <w:vAlign w:val="center"/>
          </w:tcPr>
          <w:p>
            <w:pPr>
              <w:spacing w:line="300" w:lineRule="exact"/>
              <w:jc w:val="left"/>
              <w:rPr>
                <w:rFonts w:ascii="宋体" w:hAnsi="宋体" w:cs="宋体"/>
                <w:sz w:val="18"/>
                <w:szCs w:val="18"/>
              </w:rPr>
            </w:pPr>
            <w:r>
              <w:rPr>
                <w:rFonts w:hint="eastAsia" w:ascii="宋体" w:hAnsi="宋体" w:cs="宋体"/>
                <w:sz w:val="18"/>
                <w:szCs w:val="18"/>
              </w:rPr>
              <w:t>促进立法交流与合作，提高立法人员业务水平，促进立法工作的科学化、民主化，不断提高立法质量和水平。</w:t>
            </w:r>
            <w:r>
              <w:rPr>
                <w:rFonts w:hint="eastAsia" w:ascii="宋体" w:hAnsi="宋体" w:cs="宋体"/>
                <w:color w:val="000000"/>
                <w:kern w:val="0"/>
                <w:sz w:val="18"/>
                <w:szCs w:val="18"/>
              </w:rPr>
              <w:t>确保国家法制统一，提高地方立法质量；为经济社会发展提供法制保障。</w:t>
            </w:r>
          </w:p>
        </w:tc>
        <w:tc>
          <w:tcPr>
            <w:tcW w:w="1842" w:type="dxa"/>
            <w:vAlign w:val="center"/>
          </w:tcPr>
          <w:p>
            <w:pPr>
              <w:spacing w:line="300" w:lineRule="exact"/>
              <w:jc w:val="center"/>
              <w:rPr>
                <w:rFonts w:ascii="宋体" w:hAnsi="宋体" w:cs="宋体"/>
                <w:sz w:val="18"/>
                <w:szCs w:val="18"/>
              </w:rPr>
            </w:pPr>
            <w:r>
              <w:rPr>
                <w:rFonts w:hint="eastAsia" w:ascii="宋体" w:hAnsi="宋体" w:cs="宋体"/>
                <w:sz w:val="18"/>
                <w:szCs w:val="18"/>
              </w:rPr>
              <w:t>立法研讨完成率</w:t>
            </w:r>
          </w:p>
        </w:tc>
        <w:tc>
          <w:tcPr>
            <w:tcW w:w="784"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≥80%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c>
          <w:tcPr>
            <w:tcW w:w="708"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jc w:val="center"/>
        </w:trPr>
        <w:tc>
          <w:tcPr>
            <w:tcW w:w="1327" w:type="dxa"/>
            <w:vMerge w:val="continue"/>
            <w:vAlign w:val="center"/>
          </w:tcPr>
          <w:p>
            <w:pPr>
              <w:spacing w:line="300" w:lineRule="exact"/>
              <w:jc w:val="center"/>
              <w:rPr>
                <w:rFonts w:ascii="宋体" w:hAnsi="宋体" w:cs="宋体"/>
                <w:b/>
                <w:sz w:val="18"/>
                <w:szCs w:val="18"/>
              </w:rPr>
            </w:pPr>
          </w:p>
        </w:tc>
        <w:tc>
          <w:tcPr>
            <w:tcW w:w="992" w:type="dxa"/>
            <w:vMerge w:val="continue"/>
            <w:vAlign w:val="center"/>
          </w:tcPr>
          <w:p>
            <w:pPr>
              <w:spacing w:line="300" w:lineRule="exact"/>
              <w:jc w:val="center"/>
              <w:rPr>
                <w:rFonts w:ascii="宋体" w:hAnsi="宋体" w:cs="宋体"/>
                <w:b/>
                <w:sz w:val="18"/>
                <w:szCs w:val="18"/>
              </w:rPr>
            </w:pPr>
          </w:p>
        </w:tc>
        <w:tc>
          <w:tcPr>
            <w:tcW w:w="4223" w:type="dxa"/>
            <w:vMerge w:val="continue"/>
            <w:vAlign w:val="center"/>
          </w:tcPr>
          <w:p>
            <w:pPr>
              <w:spacing w:line="300" w:lineRule="exact"/>
              <w:jc w:val="left"/>
              <w:rPr>
                <w:rFonts w:ascii="宋体" w:hAnsi="宋体" w:cs="宋体"/>
                <w:color w:val="000000"/>
                <w:kern w:val="0"/>
                <w:sz w:val="18"/>
                <w:szCs w:val="18"/>
              </w:rPr>
            </w:pPr>
          </w:p>
        </w:tc>
        <w:tc>
          <w:tcPr>
            <w:tcW w:w="2865" w:type="dxa"/>
            <w:vMerge w:val="continue"/>
            <w:vAlign w:val="center"/>
          </w:tcPr>
          <w:p>
            <w:pPr>
              <w:spacing w:line="300" w:lineRule="exact"/>
              <w:jc w:val="left"/>
              <w:rPr>
                <w:rFonts w:ascii="宋体" w:hAnsi="宋体" w:cs="宋体"/>
                <w:sz w:val="18"/>
                <w:szCs w:val="18"/>
              </w:rPr>
            </w:pPr>
          </w:p>
        </w:tc>
        <w:tc>
          <w:tcPr>
            <w:tcW w:w="1842" w:type="dxa"/>
            <w:vAlign w:val="center"/>
          </w:tcPr>
          <w:p>
            <w:pPr>
              <w:spacing w:line="300" w:lineRule="exact"/>
              <w:jc w:val="center"/>
              <w:rPr>
                <w:rFonts w:ascii="宋体" w:hAnsi="宋体" w:cs="宋体"/>
                <w:sz w:val="18"/>
                <w:szCs w:val="18"/>
              </w:rPr>
            </w:pPr>
            <w:r>
              <w:rPr>
                <w:rFonts w:hint="eastAsia" w:ascii="宋体" w:hAnsi="宋体" w:cs="宋体"/>
                <w:sz w:val="18"/>
                <w:szCs w:val="18"/>
              </w:rPr>
              <w:t>立法后评估完成率</w:t>
            </w:r>
          </w:p>
        </w:tc>
        <w:tc>
          <w:tcPr>
            <w:tcW w:w="784"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≥80%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c>
          <w:tcPr>
            <w:tcW w:w="708"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2" w:hRule="atLeast"/>
          <w:jc w:val="center"/>
        </w:trPr>
        <w:tc>
          <w:tcPr>
            <w:tcW w:w="1327" w:type="dxa"/>
            <w:vMerge w:val="continue"/>
            <w:vAlign w:val="center"/>
          </w:tcPr>
          <w:p>
            <w:pPr>
              <w:spacing w:line="300" w:lineRule="exact"/>
              <w:jc w:val="center"/>
              <w:rPr>
                <w:rFonts w:ascii="宋体" w:hAnsi="宋体" w:cs="宋体"/>
                <w:b/>
                <w:sz w:val="18"/>
                <w:szCs w:val="18"/>
              </w:rPr>
            </w:pPr>
          </w:p>
        </w:tc>
        <w:tc>
          <w:tcPr>
            <w:tcW w:w="992" w:type="dxa"/>
            <w:vMerge w:val="continue"/>
            <w:vAlign w:val="center"/>
          </w:tcPr>
          <w:p>
            <w:pPr>
              <w:spacing w:line="300" w:lineRule="exact"/>
              <w:jc w:val="center"/>
              <w:rPr>
                <w:rFonts w:ascii="宋体" w:hAnsi="宋体" w:cs="宋体"/>
                <w:b/>
                <w:sz w:val="18"/>
                <w:szCs w:val="18"/>
              </w:rPr>
            </w:pPr>
          </w:p>
        </w:tc>
        <w:tc>
          <w:tcPr>
            <w:tcW w:w="4223" w:type="dxa"/>
            <w:vMerge w:val="continue"/>
            <w:vAlign w:val="center"/>
          </w:tcPr>
          <w:p>
            <w:pPr>
              <w:spacing w:line="300" w:lineRule="exact"/>
              <w:jc w:val="left"/>
              <w:rPr>
                <w:rFonts w:ascii="宋体" w:hAnsi="宋体" w:cs="宋体"/>
                <w:color w:val="000000"/>
                <w:kern w:val="0"/>
                <w:sz w:val="18"/>
                <w:szCs w:val="18"/>
              </w:rPr>
            </w:pPr>
          </w:p>
        </w:tc>
        <w:tc>
          <w:tcPr>
            <w:tcW w:w="2865" w:type="dxa"/>
            <w:vMerge w:val="continue"/>
            <w:vAlign w:val="center"/>
          </w:tcPr>
          <w:p>
            <w:pPr>
              <w:spacing w:line="300" w:lineRule="exact"/>
              <w:jc w:val="left"/>
              <w:rPr>
                <w:rFonts w:ascii="宋体" w:hAnsi="宋体" w:cs="宋体"/>
                <w:sz w:val="18"/>
                <w:szCs w:val="18"/>
              </w:rPr>
            </w:pPr>
          </w:p>
        </w:tc>
        <w:tc>
          <w:tcPr>
            <w:tcW w:w="1842" w:type="dxa"/>
            <w:vAlign w:val="center"/>
          </w:tcPr>
          <w:p>
            <w:pPr>
              <w:spacing w:line="300" w:lineRule="exact"/>
              <w:jc w:val="center"/>
              <w:rPr>
                <w:rFonts w:ascii="宋体" w:hAnsi="宋体" w:cs="宋体"/>
                <w:sz w:val="18"/>
                <w:szCs w:val="18"/>
              </w:rPr>
            </w:pPr>
            <w:r>
              <w:rPr>
                <w:rFonts w:hint="eastAsia" w:ascii="宋体" w:hAnsi="宋体" w:cs="宋体"/>
                <w:sz w:val="18"/>
                <w:szCs w:val="18"/>
              </w:rPr>
              <w:t>培训计划完成率</w:t>
            </w:r>
          </w:p>
        </w:tc>
        <w:tc>
          <w:tcPr>
            <w:tcW w:w="784"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≥80%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c>
          <w:tcPr>
            <w:tcW w:w="708"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4" w:hRule="atLeast"/>
          <w:jc w:val="center"/>
        </w:trPr>
        <w:tc>
          <w:tcPr>
            <w:tcW w:w="1327" w:type="dxa"/>
            <w:vMerge w:val="continue"/>
            <w:vAlign w:val="center"/>
          </w:tcPr>
          <w:p>
            <w:pPr>
              <w:spacing w:line="300" w:lineRule="exact"/>
              <w:jc w:val="center"/>
              <w:rPr>
                <w:rFonts w:ascii="宋体" w:hAnsi="宋体" w:cs="宋体"/>
                <w:b/>
                <w:sz w:val="18"/>
                <w:szCs w:val="18"/>
              </w:rPr>
            </w:pPr>
          </w:p>
        </w:tc>
        <w:tc>
          <w:tcPr>
            <w:tcW w:w="992" w:type="dxa"/>
            <w:vMerge w:val="continue"/>
            <w:vAlign w:val="center"/>
          </w:tcPr>
          <w:p>
            <w:pPr>
              <w:spacing w:line="300" w:lineRule="exact"/>
              <w:jc w:val="center"/>
              <w:rPr>
                <w:rFonts w:ascii="宋体" w:hAnsi="宋体" w:cs="宋体"/>
                <w:b/>
                <w:sz w:val="18"/>
                <w:szCs w:val="18"/>
              </w:rPr>
            </w:pPr>
          </w:p>
        </w:tc>
        <w:tc>
          <w:tcPr>
            <w:tcW w:w="4223" w:type="dxa"/>
            <w:vMerge w:val="continue"/>
            <w:vAlign w:val="center"/>
          </w:tcPr>
          <w:p>
            <w:pPr>
              <w:spacing w:line="300" w:lineRule="exact"/>
              <w:jc w:val="left"/>
              <w:rPr>
                <w:rFonts w:ascii="宋体" w:hAnsi="宋体" w:cs="宋体"/>
                <w:sz w:val="18"/>
                <w:szCs w:val="18"/>
              </w:rPr>
            </w:pPr>
          </w:p>
        </w:tc>
        <w:tc>
          <w:tcPr>
            <w:tcW w:w="2865" w:type="dxa"/>
            <w:vMerge w:val="continue"/>
            <w:vAlign w:val="center"/>
          </w:tcPr>
          <w:p>
            <w:pPr>
              <w:spacing w:line="300" w:lineRule="exact"/>
              <w:jc w:val="left"/>
              <w:rPr>
                <w:rFonts w:ascii="宋体" w:hAnsi="宋体" w:cs="宋体"/>
                <w:sz w:val="18"/>
                <w:szCs w:val="18"/>
              </w:rPr>
            </w:pPr>
          </w:p>
        </w:tc>
        <w:tc>
          <w:tcPr>
            <w:tcW w:w="1842" w:type="dxa"/>
            <w:vAlign w:val="center"/>
          </w:tcPr>
          <w:p>
            <w:pPr>
              <w:spacing w:line="300" w:lineRule="exact"/>
              <w:jc w:val="center"/>
              <w:rPr>
                <w:rFonts w:ascii="宋体" w:hAnsi="宋体" w:cs="宋体"/>
                <w:sz w:val="18"/>
                <w:szCs w:val="18"/>
              </w:rPr>
            </w:pPr>
            <w:r>
              <w:rPr>
                <w:rFonts w:hint="eastAsia" w:ascii="宋体" w:hAnsi="宋体" w:cs="宋体"/>
                <w:sz w:val="18"/>
                <w:szCs w:val="18"/>
              </w:rPr>
              <w:t>立法调研计划完成率</w:t>
            </w:r>
          </w:p>
        </w:tc>
        <w:tc>
          <w:tcPr>
            <w:tcW w:w="784"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≥80%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c>
          <w:tcPr>
            <w:tcW w:w="708"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8" w:hRule="atLeast"/>
          <w:jc w:val="center"/>
        </w:trPr>
        <w:tc>
          <w:tcPr>
            <w:tcW w:w="1327" w:type="dxa"/>
            <w:vMerge w:val="restart"/>
            <w:vAlign w:val="center"/>
          </w:tcPr>
          <w:p>
            <w:pPr>
              <w:spacing w:line="300" w:lineRule="exact"/>
              <w:jc w:val="center"/>
              <w:rPr>
                <w:rFonts w:ascii="宋体" w:hAnsi="宋体" w:cs="宋体"/>
                <w:b/>
                <w:sz w:val="18"/>
                <w:szCs w:val="18"/>
              </w:rPr>
            </w:pPr>
            <w:r>
              <w:rPr>
                <w:rFonts w:hint="eastAsia" w:ascii="宋体" w:hAnsi="宋体" w:cs="宋体"/>
                <w:b/>
                <w:sz w:val="18"/>
                <w:szCs w:val="18"/>
              </w:rPr>
              <w:t>人大监督</w:t>
            </w:r>
          </w:p>
        </w:tc>
        <w:tc>
          <w:tcPr>
            <w:tcW w:w="992" w:type="dxa"/>
            <w:vMerge w:val="restart"/>
            <w:vAlign w:val="center"/>
          </w:tcPr>
          <w:p>
            <w:pPr>
              <w:spacing w:line="300" w:lineRule="exact"/>
              <w:jc w:val="center"/>
              <w:rPr>
                <w:rFonts w:ascii="宋体" w:hAnsi="宋体" w:cs="宋体"/>
                <w:b/>
                <w:sz w:val="18"/>
                <w:szCs w:val="18"/>
              </w:rPr>
            </w:pPr>
            <w:r>
              <w:rPr>
                <w:rFonts w:hint="eastAsia" w:ascii="宋体" w:hAnsi="宋体" w:cs="宋体"/>
                <w:b/>
                <w:sz w:val="18"/>
                <w:szCs w:val="18"/>
              </w:rPr>
              <w:t>38.2</w:t>
            </w:r>
          </w:p>
        </w:tc>
        <w:tc>
          <w:tcPr>
            <w:tcW w:w="4223" w:type="dxa"/>
            <w:vMerge w:val="restart"/>
            <w:vAlign w:val="center"/>
          </w:tcPr>
          <w:p>
            <w:pPr>
              <w:spacing w:line="300" w:lineRule="exact"/>
              <w:jc w:val="left"/>
              <w:rPr>
                <w:rFonts w:ascii="宋体" w:hAnsi="宋体" w:cs="宋体"/>
                <w:sz w:val="18"/>
                <w:szCs w:val="18"/>
              </w:rPr>
            </w:pPr>
            <w:r>
              <w:rPr>
                <w:rFonts w:hint="eastAsia" w:ascii="宋体" w:hAnsi="宋体" w:cs="宋体"/>
                <w:sz w:val="18"/>
                <w:szCs w:val="18"/>
              </w:rPr>
              <w:t>组织全国人大代表、省市人大代表进行执法检查和集中视察；围绕政府工作报告和“一府两院”专项工作报告涉及内容开展调查研究，开展专题询问和工作评议；对“一府一委两院”进行监督；开展代表建议督办。组织专门委员会委员、各工作委员会及特聘专家进行立法调研、立法评估等工作，对法律实施情况进行执法检查。</w:t>
            </w:r>
          </w:p>
        </w:tc>
        <w:tc>
          <w:tcPr>
            <w:tcW w:w="2865" w:type="dxa"/>
            <w:vMerge w:val="restart"/>
            <w:vAlign w:val="center"/>
          </w:tcPr>
          <w:p>
            <w:pPr>
              <w:spacing w:line="300" w:lineRule="exact"/>
              <w:jc w:val="left"/>
              <w:rPr>
                <w:rFonts w:ascii="宋体" w:hAnsi="宋体" w:cs="宋体"/>
                <w:sz w:val="18"/>
                <w:szCs w:val="18"/>
              </w:rPr>
            </w:pPr>
            <w:r>
              <w:rPr>
                <w:rFonts w:hint="eastAsia" w:ascii="宋体" w:hAnsi="宋体" w:cs="宋体"/>
                <w:sz w:val="18"/>
                <w:szCs w:val="18"/>
              </w:rPr>
              <w:t>促进人大各项决议报告的实施；促进“一府一委两院”改进工作；提高法规质量，保障其有效实施；促进社会和谐稳定增长。</w:t>
            </w:r>
          </w:p>
        </w:tc>
        <w:tc>
          <w:tcPr>
            <w:tcW w:w="1842" w:type="dxa"/>
            <w:vAlign w:val="center"/>
          </w:tcPr>
          <w:p>
            <w:pPr>
              <w:spacing w:line="300" w:lineRule="exact"/>
              <w:jc w:val="center"/>
              <w:rPr>
                <w:rFonts w:ascii="宋体" w:hAnsi="宋体" w:cs="宋体"/>
                <w:sz w:val="18"/>
                <w:szCs w:val="18"/>
              </w:rPr>
            </w:pPr>
            <w:r>
              <w:rPr>
                <w:rFonts w:hint="eastAsia" w:ascii="宋体" w:hAnsi="宋体" w:cs="宋体"/>
                <w:sz w:val="18"/>
                <w:szCs w:val="18"/>
              </w:rPr>
              <w:t>执法检查任务完成率</w:t>
            </w:r>
          </w:p>
        </w:tc>
        <w:tc>
          <w:tcPr>
            <w:tcW w:w="784"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≥80%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c>
          <w:tcPr>
            <w:tcW w:w="708"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2" w:hRule="atLeast"/>
          <w:jc w:val="center"/>
        </w:trPr>
        <w:tc>
          <w:tcPr>
            <w:tcW w:w="1327" w:type="dxa"/>
            <w:vMerge w:val="continue"/>
            <w:vAlign w:val="center"/>
          </w:tcPr>
          <w:p>
            <w:pPr>
              <w:spacing w:line="300" w:lineRule="exact"/>
              <w:jc w:val="center"/>
              <w:rPr>
                <w:rFonts w:ascii="宋体" w:hAnsi="宋体" w:cs="宋体"/>
                <w:b/>
                <w:sz w:val="18"/>
                <w:szCs w:val="18"/>
              </w:rPr>
            </w:pPr>
          </w:p>
        </w:tc>
        <w:tc>
          <w:tcPr>
            <w:tcW w:w="992" w:type="dxa"/>
            <w:vMerge w:val="continue"/>
            <w:vAlign w:val="center"/>
          </w:tcPr>
          <w:p>
            <w:pPr>
              <w:spacing w:line="300" w:lineRule="exact"/>
              <w:jc w:val="center"/>
              <w:rPr>
                <w:rFonts w:ascii="宋体" w:hAnsi="宋体" w:cs="宋体"/>
                <w:b/>
                <w:sz w:val="18"/>
                <w:szCs w:val="18"/>
              </w:rPr>
            </w:pPr>
          </w:p>
        </w:tc>
        <w:tc>
          <w:tcPr>
            <w:tcW w:w="4223" w:type="dxa"/>
            <w:vMerge w:val="continue"/>
            <w:vAlign w:val="center"/>
          </w:tcPr>
          <w:p>
            <w:pPr>
              <w:spacing w:line="300" w:lineRule="exact"/>
              <w:jc w:val="left"/>
              <w:rPr>
                <w:rFonts w:ascii="宋体" w:hAnsi="宋体" w:cs="宋体"/>
                <w:sz w:val="18"/>
                <w:szCs w:val="18"/>
              </w:rPr>
            </w:pPr>
          </w:p>
        </w:tc>
        <w:tc>
          <w:tcPr>
            <w:tcW w:w="2865" w:type="dxa"/>
            <w:vMerge w:val="continue"/>
            <w:vAlign w:val="center"/>
          </w:tcPr>
          <w:p>
            <w:pPr>
              <w:spacing w:line="300" w:lineRule="exact"/>
              <w:jc w:val="left"/>
              <w:rPr>
                <w:rFonts w:ascii="宋体" w:hAnsi="宋体" w:cs="宋体"/>
                <w:sz w:val="18"/>
                <w:szCs w:val="18"/>
              </w:rPr>
            </w:pPr>
          </w:p>
        </w:tc>
        <w:tc>
          <w:tcPr>
            <w:tcW w:w="1842" w:type="dxa"/>
            <w:vAlign w:val="center"/>
          </w:tcPr>
          <w:p>
            <w:pPr>
              <w:spacing w:line="300" w:lineRule="exact"/>
              <w:jc w:val="center"/>
              <w:rPr>
                <w:rFonts w:ascii="宋体" w:hAnsi="宋体" w:cs="宋体"/>
                <w:sz w:val="18"/>
                <w:szCs w:val="18"/>
              </w:rPr>
            </w:pPr>
            <w:r>
              <w:rPr>
                <w:rFonts w:hint="eastAsia" w:ascii="宋体" w:hAnsi="宋体" w:cs="宋体"/>
                <w:sz w:val="18"/>
                <w:szCs w:val="18"/>
              </w:rPr>
              <w:t>视察调研任务完成率</w:t>
            </w:r>
          </w:p>
        </w:tc>
        <w:tc>
          <w:tcPr>
            <w:tcW w:w="784"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≥80%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c>
          <w:tcPr>
            <w:tcW w:w="708"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jc w:val="center"/>
        </w:trPr>
        <w:tc>
          <w:tcPr>
            <w:tcW w:w="1327" w:type="dxa"/>
            <w:vMerge w:val="continue"/>
            <w:vAlign w:val="center"/>
          </w:tcPr>
          <w:p>
            <w:pPr>
              <w:spacing w:line="300" w:lineRule="exact"/>
              <w:jc w:val="center"/>
              <w:rPr>
                <w:rFonts w:ascii="宋体" w:hAnsi="宋体" w:cs="宋体"/>
                <w:b/>
                <w:sz w:val="18"/>
                <w:szCs w:val="18"/>
              </w:rPr>
            </w:pPr>
          </w:p>
        </w:tc>
        <w:tc>
          <w:tcPr>
            <w:tcW w:w="992" w:type="dxa"/>
            <w:vMerge w:val="continue"/>
            <w:vAlign w:val="center"/>
          </w:tcPr>
          <w:p>
            <w:pPr>
              <w:spacing w:line="300" w:lineRule="exact"/>
              <w:jc w:val="center"/>
              <w:rPr>
                <w:rFonts w:ascii="宋体" w:hAnsi="宋体" w:cs="宋体"/>
                <w:b/>
                <w:sz w:val="18"/>
                <w:szCs w:val="18"/>
              </w:rPr>
            </w:pPr>
          </w:p>
        </w:tc>
        <w:tc>
          <w:tcPr>
            <w:tcW w:w="4223" w:type="dxa"/>
            <w:vMerge w:val="continue"/>
            <w:vAlign w:val="center"/>
          </w:tcPr>
          <w:p>
            <w:pPr>
              <w:spacing w:line="300" w:lineRule="exact"/>
              <w:jc w:val="left"/>
              <w:rPr>
                <w:rFonts w:ascii="宋体" w:hAnsi="宋体" w:cs="宋体"/>
                <w:sz w:val="18"/>
                <w:szCs w:val="18"/>
              </w:rPr>
            </w:pPr>
          </w:p>
        </w:tc>
        <w:tc>
          <w:tcPr>
            <w:tcW w:w="2865" w:type="dxa"/>
            <w:vMerge w:val="continue"/>
            <w:vAlign w:val="center"/>
          </w:tcPr>
          <w:p>
            <w:pPr>
              <w:spacing w:line="300" w:lineRule="exact"/>
              <w:jc w:val="left"/>
              <w:rPr>
                <w:rFonts w:ascii="宋体" w:hAnsi="宋体" w:cs="宋体"/>
                <w:sz w:val="18"/>
                <w:szCs w:val="18"/>
              </w:rPr>
            </w:pPr>
          </w:p>
        </w:tc>
        <w:tc>
          <w:tcPr>
            <w:tcW w:w="1842" w:type="dxa"/>
            <w:vAlign w:val="center"/>
          </w:tcPr>
          <w:p>
            <w:pPr>
              <w:spacing w:line="300" w:lineRule="exact"/>
              <w:jc w:val="center"/>
              <w:rPr>
                <w:rFonts w:ascii="宋体" w:hAnsi="宋体" w:cs="宋体"/>
                <w:sz w:val="18"/>
                <w:szCs w:val="18"/>
              </w:rPr>
            </w:pPr>
            <w:r>
              <w:rPr>
                <w:rFonts w:hint="eastAsia" w:ascii="宋体" w:hAnsi="宋体" w:cs="宋体"/>
                <w:sz w:val="18"/>
                <w:szCs w:val="18"/>
              </w:rPr>
              <w:t>视察报告完成率</w:t>
            </w:r>
          </w:p>
        </w:tc>
        <w:tc>
          <w:tcPr>
            <w:tcW w:w="784"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≥80%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c>
          <w:tcPr>
            <w:tcW w:w="708"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jc w:val="center"/>
        </w:trPr>
        <w:tc>
          <w:tcPr>
            <w:tcW w:w="1327" w:type="dxa"/>
            <w:vMerge w:val="restart"/>
            <w:vAlign w:val="center"/>
          </w:tcPr>
          <w:p>
            <w:pPr>
              <w:spacing w:line="300" w:lineRule="exact"/>
              <w:jc w:val="center"/>
              <w:rPr>
                <w:rFonts w:ascii="宋体" w:hAnsi="宋体" w:cs="宋体"/>
                <w:b/>
                <w:sz w:val="18"/>
                <w:szCs w:val="18"/>
              </w:rPr>
            </w:pPr>
            <w:r>
              <w:rPr>
                <w:rFonts w:hint="eastAsia" w:ascii="宋体" w:hAnsi="宋体" w:cs="宋体"/>
                <w:b/>
                <w:sz w:val="18"/>
                <w:szCs w:val="18"/>
              </w:rPr>
              <w:t>人大会议</w:t>
            </w:r>
          </w:p>
        </w:tc>
        <w:tc>
          <w:tcPr>
            <w:tcW w:w="992" w:type="dxa"/>
            <w:vMerge w:val="restart"/>
            <w:vAlign w:val="center"/>
          </w:tcPr>
          <w:p>
            <w:pPr>
              <w:spacing w:line="300" w:lineRule="exact"/>
              <w:jc w:val="center"/>
              <w:rPr>
                <w:rFonts w:ascii="宋体" w:hAnsi="宋体" w:cs="宋体"/>
                <w:b/>
                <w:sz w:val="18"/>
                <w:szCs w:val="18"/>
              </w:rPr>
            </w:pPr>
            <w:r>
              <w:rPr>
                <w:rFonts w:hint="eastAsia" w:ascii="宋体" w:hAnsi="宋体" w:cs="宋体"/>
                <w:b/>
                <w:sz w:val="18"/>
                <w:szCs w:val="18"/>
              </w:rPr>
              <w:t>150</w:t>
            </w:r>
          </w:p>
        </w:tc>
        <w:tc>
          <w:tcPr>
            <w:tcW w:w="4223" w:type="dxa"/>
            <w:vMerge w:val="restart"/>
            <w:vAlign w:val="center"/>
          </w:tcPr>
          <w:p>
            <w:pPr>
              <w:spacing w:line="300" w:lineRule="exact"/>
              <w:jc w:val="left"/>
              <w:rPr>
                <w:rFonts w:ascii="宋体" w:hAnsi="宋体" w:cs="宋体"/>
                <w:sz w:val="18"/>
                <w:szCs w:val="18"/>
              </w:rPr>
            </w:pPr>
            <w:r>
              <w:rPr>
                <w:rFonts w:hint="eastAsia" w:ascii="宋体" w:hAnsi="宋体" w:cs="宋体"/>
                <w:sz w:val="18"/>
                <w:szCs w:val="18"/>
              </w:rPr>
              <w:t>承担市人民代表大会和常务委员会负责各种会议的筹备组织、会务工作；负责常委会文件起草、审核把关，常委会会议、主任会议及常委会党组会议决定事项、工作部署、重要文件及领导批示的传达和督办。</w:t>
            </w:r>
          </w:p>
        </w:tc>
        <w:tc>
          <w:tcPr>
            <w:tcW w:w="2865" w:type="dxa"/>
            <w:vMerge w:val="restart"/>
            <w:vAlign w:val="center"/>
          </w:tcPr>
          <w:p>
            <w:pPr>
              <w:spacing w:line="300" w:lineRule="exact"/>
              <w:jc w:val="left"/>
              <w:rPr>
                <w:rFonts w:ascii="宋体" w:hAnsi="宋体" w:cs="宋体"/>
                <w:sz w:val="18"/>
                <w:szCs w:val="18"/>
              </w:rPr>
            </w:pPr>
            <w:r>
              <w:rPr>
                <w:rFonts w:hint="eastAsia" w:ascii="宋体" w:hAnsi="宋体" w:cs="宋体"/>
                <w:sz w:val="18"/>
                <w:szCs w:val="18"/>
              </w:rPr>
              <w:t>完善各项会议制度，规范会议程序，提高会议质量，提高人大代表及常委会审议水平。</w:t>
            </w:r>
          </w:p>
        </w:tc>
        <w:tc>
          <w:tcPr>
            <w:tcW w:w="1842" w:type="dxa"/>
            <w:vAlign w:val="center"/>
          </w:tcPr>
          <w:p>
            <w:pPr>
              <w:spacing w:line="300" w:lineRule="exact"/>
              <w:jc w:val="center"/>
              <w:rPr>
                <w:rFonts w:ascii="宋体" w:hAnsi="宋体" w:cs="宋体"/>
                <w:sz w:val="18"/>
                <w:szCs w:val="18"/>
              </w:rPr>
            </w:pPr>
            <w:r>
              <w:rPr>
                <w:rFonts w:hint="eastAsia" w:ascii="宋体" w:hAnsi="宋体" w:cs="宋体"/>
                <w:sz w:val="18"/>
                <w:szCs w:val="18"/>
              </w:rPr>
              <w:t>会议活动完成率</w:t>
            </w:r>
          </w:p>
        </w:tc>
        <w:tc>
          <w:tcPr>
            <w:tcW w:w="784"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≥80%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c>
          <w:tcPr>
            <w:tcW w:w="708"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7" w:hRule="atLeast"/>
          <w:jc w:val="center"/>
        </w:trPr>
        <w:tc>
          <w:tcPr>
            <w:tcW w:w="1327" w:type="dxa"/>
            <w:vMerge w:val="continue"/>
            <w:vAlign w:val="center"/>
          </w:tcPr>
          <w:p>
            <w:pPr>
              <w:spacing w:line="300" w:lineRule="exact"/>
              <w:jc w:val="left"/>
              <w:rPr>
                <w:rFonts w:ascii="宋体" w:hAnsi="宋体" w:cs="宋体"/>
                <w:b/>
                <w:sz w:val="18"/>
                <w:szCs w:val="18"/>
              </w:rPr>
            </w:pPr>
          </w:p>
        </w:tc>
        <w:tc>
          <w:tcPr>
            <w:tcW w:w="992" w:type="dxa"/>
            <w:vMerge w:val="continue"/>
            <w:vAlign w:val="center"/>
          </w:tcPr>
          <w:p>
            <w:pPr>
              <w:spacing w:line="300" w:lineRule="exact"/>
              <w:jc w:val="center"/>
              <w:rPr>
                <w:rFonts w:ascii="宋体" w:hAnsi="宋体" w:cs="宋体"/>
                <w:b/>
                <w:sz w:val="18"/>
                <w:szCs w:val="18"/>
              </w:rPr>
            </w:pPr>
          </w:p>
        </w:tc>
        <w:tc>
          <w:tcPr>
            <w:tcW w:w="4223" w:type="dxa"/>
            <w:vMerge w:val="continue"/>
            <w:vAlign w:val="center"/>
          </w:tcPr>
          <w:p>
            <w:pPr>
              <w:spacing w:line="300" w:lineRule="exact"/>
              <w:jc w:val="left"/>
              <w:rPr>
                <w:rFonts w:ascii="宋体" w:hAnsi="宋体" w:cs="宋体"/>
                <w:sz w:val="18"/>
                <w:szCs w:val="18"/>
              </w:rPr>
            </w:pPr>
          </w:p>
        </w:tc>
        <w:tc>
          <w:tcPr>
            <w:tcW w:w="2865" w:type="dxa"/>
            <w:vMerge w:val="continue"/>
            <w:vAlign w:val="center"/>
          </w:tcPr>
          <w:p>
            <w:pPr>
              <w:spacing w:line="300" w:lineRule="exact"/>
              <w:jc w:val="center"/>
              <w:rPr>
                <w:rFonts w:ascii="宋体" w:hAnsi="宋体" w:cs="宋体"/>
                <w:sz w:val="18"/>
                <w:szCs w:val="18"/>
              </w:rPr>
            </w:pPr>
          </w:p>
        </w:tc>
        <w:tc>
          <w:tcPr>
            <w:tcW w:w="1842" w:type="dxa"/>
            <w:vAlign w:val="center"/>
          </w:tcPr>
          <w:p>
            <w:pPr>
              <w:spacing w:line="300" w:lineRule="exact"/>
              <w:jc w:val="center"/>
              <w:rPr>
                <w:rFonts w:ascii="宋体" w:hAnsi="宋体" w:cs="宋体"/>
                <w:sz w:val="18"/>
                <w:szCs w:val="18"/>
              </w:rPr>
            </w:pPr>
            <w:r>
              <w:rPr>
                <w:rFonts w:hint="eastAsia" w:ascii="宋体" w:hAnsi="宋体" w:cs="宋体"/>
                <w:sz w:val="18"/>
                <w:szCs w:val="18"/>
              </w:rPr>
              <w:t>政治任务实现率</w:t>
            </w:r>
          </w:p>
        </w:tc>
        <w:tc>
          <w:tcPr>
            <w:tcW w:w="784"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≥80%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c>
          <w:tcPr>
            <w:tcW w:w="708"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4" w:hRule="atLeast"/>
          <w:jc w:val="center"/>
        </w:trPr>
        <w:tc>
          <w:tcPr>
            <w:tcW w:w="1327" w:type="dxa"/>
            <w:vMerge w:val="continue"/>
            <w:vAlign w:val="center"/>
          </w:tcPr>
          <w:p>
            <w:pPr>
              <w:spacing w:line="300" w:lineRule="exact"/>
              <w:jc w:val="left"/>
              <w:rPr>
                <w:rFonts w:ascii="宋体" w:hAnsi="宋体" w:cs="宋体"/>
                <w:b/>
                <w:sz w:val="18"/>
                <w:szCs w:val="18"/>
              </w:rPr>
            </w:pPr>
          </w:p>
        </w:tc>
        <w:tc>
          <w:tcPr>
            <w:tcW w:w="992" w:type="dxa"/>
            <w:vMerge w:val="continue"/>
            <w:vAlign w:val="center"/>
          </w:tcPr>
          <w:p>
            <w:pPr>
              <w:spacing w:line="300" w:lineRule="exact"/>
              <w:jc w:val="center"/>
              <w:rPr>
                <w:rFonts w:ascii="宋体" w:hAnsi="宋体" w:cs="宋体"/>
                <w:b/>
                <w:sz w:val="18"/>
                <w:szCs w:val="18"/>
              </w:rPr>
            </w:pPr>
          </w:p>
        </w:tc>
        <w:tc>
          <w:tcPr>
            <w:tcW w:w="4223" w:type="dxa"/>
            <w:vMerge w:val="continue"/>
            <w:vAlign w:val="center"/>
          </w:tcPr>
          <w:p>
            <w:pPr>
              <w:spacing w:line="300" w:lineRule="exact"/>
              <w:jc w:val="left"/>
              <w:rPr>
                <w:rFonts w:ascii="宋体" w:hAnsi="宋体" w:cs="宋体"/>
                <w:sz w:val="18"/>
                <w:szCs w:val="18"/>
              </w:rPr>
            </w:pPr>
          </w:p>
        </w:tc>
        <w:tc>
          <w:tcPr>
            <w:tcW w:w="2865" w:type="dxa"/>
            <w:vMerge w:val="continue"/>
            <w:vAlign w:val="center"/>
          </w:tcPr>
          <w:p>
            <w:pPr>
              <w:spacing w:line="300" w:lineRule="exact"/>
              <w:jc w:val="center"/>
              <w:rPr>
                <w:rFonts w:ascii="宋体" w:hAnsi="宋体" w:cs="宋体"/>
                <w:sz w:val="18"/>
                <w:szCs w:val="18"/>
              </w:rPr>
            </w:pPr>
          </w:p>
        </w:tc>
        <w:tc>
          <w:tcPr>
            <w:tcW w:w="1842" w:type="dxa"/>
            <w:vAlign w:val="center"/>
          </w:tcPr>
          <w:p>
            <w:pPr>
              <w:spacing w:line="300" w:lineRule="exact"/>
              <w:jc w:val="center"/>
              <w:rPr>
                <w:rFonts w:ascii="宋体" w:hAnsi="宋体" w:cs="宋体"/>
                <w:sz w:val="18"/>
                <w:szCs w:val="18"/>
              </w:rPr>
            </w:pPr>
            <w:r>
              <w:rPr>
                <w:rFonts w:hint="eastAsia" w:ascii="宋体" w:hAnsi="宋体" w:cs="宋体"/>
                <w:sz w:val="18"/>
                <w:szCs w:val="18"/>
              </w:rPr>
              <w:t>年度安排实现率</w:t>
            </w:r>
          </w:p>
        </w:tc>
        <w:tc>
          <w:tcPr>
            <w:tcW w:w="784"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≥80%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c>
          <w:tcPr>
            <w:tcW w:w="708" w:type="dxa"/>
            <w:vAlign w:val="center"/>
          </w:tcPr>
          <w:p>
            <w:pPr>
              <w:spacing w:line="300" w:lineRule="exact"/>
              <w:jc w:val="center"/>
              <w:rPr>
                <w:rFonts w:ascii="宋体" w:hAnsi="宋体" w:cs="宋体"/>
                <w:sz w:val="18"/>
                <w:szCs w:val="18"/>
              </w:rPr>
            </w:pPr>
            <w:r>
              <w:rPr>
                <w:rFonts w:hint="eastAsia" w:ascii="宋体" w:hAnsi="宋体" w:cs="宋体"/>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4" w:hRule="atLeast"/>
          <w:jc w:val="center"/>
        </w:trPr>
        <w:tc>
          <w:tcPr>
            <w:tcW w:w="1327" w:type="dxa"/>
            <w:vMerge w:val="restart"/>
            <w:vAlign w:val="center"/>
          </w:tcPr>
          <w:p>
            <w:pPr>
              <w:spacing w:line="300" w:lineRule="exact"/>
              <w:jc w:val="center"/>
              <w:rPr>
                <w:rFonts w:ascii="宋体" w:hAnsi="宋体" w:cs="宋体"/>
                <w:b/>
                <w:sz w:val="18"/>
                <w:szCs w:val="18"/>
              </w:rPr>
            </w:pPr>
            <w:r>
              <w:rPr>
                <w:rFonts w:hint="eastAsia" w:ascii="宋体" w:hAnsi="宋体" w:cs="宋体"/>
                <w:b/>
                <w:sz w:val="18"/>
                <w:szCs w:val="18"/>
              </w:rPr>
              <w:t>代表活动</w:t>
            </w:r>
          </w:p>
        </w:tc>
        <w:tc>
          <w:tcPr>
            <w:tcW w:w="992" w:type="dxa"/>
            <w:vMerge w:val="restart"/>
            <w:vAlign w:val="center"/>
          </w:tcPr>
          <w:p>
            <w:pPr>
              <w:spacing w:line="300" w:lineRule="exact"/>
              <w:jc w:val="center"/>
              <w:rPr>
                <w:rFonts w:ascii="宋体" w:hAnsi="宋体" w:cs="宋体"/>
                <w:b/>
                <w:sz w:val="18"/>
                <w:szCs w:val="18"/>
              </w:rPr>
            </w:pPr>
          </w:p>
          <w:p>
            <w:pPr>
              <w:spacing w:line="300" w:lineRule="exact"/>
              <w:jc w:val="center"/>
              <w:rPr>
                <w:rFonts w:ascii="宋体" w:hAnsi="宋体" w:cs="宋体"/>
                <w:b/>
                <w:sz w:val="18"/>
                <w:szCs w:val="18"/>
              </w:rPr>
            </w:pPr>
            <w:r>
              <w:rPr>
                <w:rFonts w:hint="eastAsia" w:ascii="宋体" w:hAnsi="宋体" w:cs="宋体"/>
                <w:b/>
                <w:sz w:val="18"/>
                <w:szCs w:val="18"/>
              </w:rPr>
              <w:t>52.27</w:t>
            </w:r>
          </w:p>
        </w:tc>
        <w:tc>
          <w:tcPr>
            <w:tcW w:w="4223" w:type="dxa"/>
            <w:vMerge w:val="restart"/>
            <w:vAlign w:val="center"/>
          </w:tcPr>
          <w:p>
            <w:pPr>
              <w:spacing w:line="300" w:lineRule="exact"/>
              <w:jc w:val="left"/>
              <w:rPr>
                <w:rFonts w:ascii="宋体" w:hAnsi="宋体" w:cs="宋体"/>
                <w:sz w:val="18"/>
                <w:szCs w:val="18"/>
              </w:rPr>
            </w:pPr>
            <w:r>
              <w:rPr>
                <w:rFonts w:hint="eastAsia" w:ascii="宋体" w:hAnsi="宋体" w:cs="宋体"/>
                <w:sz w:val="18"/>
                <w:szCs w:val="18"/>
              </w:rPr>
              <w:t>组织全国人大代表、省人大常委及省人大代表进行执法检查和集中视察；开展代表建议督办；组织对常委及代表培训。修订、修改与代表、选举和人事任免有关的地方性法规或办法；检查监督代表法、选举法及其实施办法的贯彻实施；承担人大换届选举及人事任免服务工作；负责对市政府组成人员和法院、检察院主要负责人的目标责任书、述职报告的督办工作。</w:t>
            </w:r>
          </w:p>
        </w:tc>
        <w:tc>
          <w:tcPr>
            <w:tcW w:w="2865" w:type="dxa"/>
            <w:vMerge w:val="restart"/>
            <w:vAlign w:val="center"/>
          </w:tcPr>
          <w:p>
            <w:pPr>
              <w:spacing w:line="300" w:lineRule="exact"/>
              <w:jc w:val="left"/>
              <w:rPr>
                <w:rFonts w:ascii="宋体" w:hAnsi="宋体" w:cs="宋体"/>
                <w:sz w:val="18"/>
                <w:szCs w:val="18"/>
              </w:rPr>
            </w:pPr>
            <w:r>
              <w:rPr>
                <w:rFonts w:hint="eastAsia" w:ascii="宋体" w:hAnsi="宋体" w:cs="宋体"/>
                <w:sz w:val="18"/>
                <w:szCs w:val="18"/>
              </w:rPr>
              <w:t>提高代表履行职务能力；为代表履行职责、联系群众提供条件；发挥常委及代表的桥梁纽带作用，集中反映民意，促进依法履职。确保省人大和市县乡人大换届选举工作顺利完成，提高组织换届选举工作水平；高质量完成国家机关领导人选举和常委会人事任免服务工作；高效督办有关部门负责人的目标责任书和述职报告。</w:t>
            </w:r>
          </w:p>
        </w:tc>
        <w:tc>
          <w:tcPr>
            <w:tcW w:w="1842" w:type="dxa"/>
            <w:vAlign w:val="center"/>
          </w:tcPr>
          <w:p>
            <w:pPr>
              <w:spacing w:line="300" w:lineRule="exact"/>
              <w:jc w:val="center"/>
              <w:rPr>
                <w:rFonts w:ascii="宋体" w:hAnsi="宋体" w:cs="宋体"/>
                <w:sz w:val="18"/>
                <w:szCs w:val="18"/>
              </w:rPr>
            </w:pPr>
            <w:r>
              <w:rPr>
                <w:rFonts w:hint="eastAsia" w:ascii="宋体" w:hAnsi="宋体" w:cs="宋体"/>
                <w:sz w:val="18"/>
                <w:szCs w:val="18"/>
              </w:rPr>
              <w:t>选举任免工作完成率</w:t>
            </w:r>
          </w:p>
        </w:tc>
        <w:tc>
          <w:tcPr>
            <w:tcW w:w="784" w:type="dxa"/>
            <w:vAlign w:val="center"/>
          </w:tcPr>
          <w:p>
            <w:pPr>
              <w:spacing w:line="300" w:lineRule="exact"/>
              <w:jc w:val="center"/>
              <w:rPr>
                <w:rFonts w:ascii="宋体" w:hAnsi="宋体" w:cs="宋体"/>
                <w:sz w:val="18"/>
                <w:szCs w:val="18"/>
              </w:rPr>
            </w:pPr>
            <w:r>
              <w:rPr>
                <w:rFonts w:hint="eastAsia" w:ascii="宋体" w:hAnsi="宋体" w:cs="宋体"/>
                <w:sz w:val="18"/>
                <w:szCs w:val="18"/>
              </w:rPr>
              <w:t>≥100%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≥95%</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c>
          <w:tcPr>
            <w:tcW w:w="708"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5" w:hRule="atLeast"/>
          <w:jc w:val="center"/>
        </w:trPr>
        <w:tc>
          <w:tcPr>
            <w:tcW w:w="1327" w:type="dxa"/>
            <w:vMerge w:val="continue"/>
            <w:vAlign w:val="center"/>
          </w:tcPr>
          <w:p>
            <w:pPr>
              <w:spacing w:line="300" w:lineRule="exact"/>
              <w:jc w:val="left"/>
              <w:rPr>
                <w:rFonts w:ascii="宋体" w:hAnsi="宋体" w:cs="宋体"/>
                <w:b/>
                <w:sz w:val="18"/>
                <w:szCs w:val="18"/>
              </w:rPr>
            </w:pPr>
          </w:p>
        </w:tc>
        <w:tc>
          <w:tcPr>
            <w:tcW w:w="992" w:type="dxa"/>
            <w:vMerge w:val="continue"/>
            <w:vAlign w:val="center"/>
          </w:tcPr>
          <w:p>
            <w:pPr>
              <w:spacing w:line="300" w:lineRule="exact"/>
              <w:jc w:val="center"/>
              <w:rPr>
                <w:rFonts w:ascii="宋体" w:hAnsi="宋体" w:cs="宋体"/>
                <w:b/>
                <w:sz w:val="18"/>
                <w:szCs w:val="18"/>
              </w:rPr>
            </w:pPr>
          </w:p>
        </w:tc>
        <w:tc>
          <w:tcPr>
            <w:tcW w:w="4223" w:type="dxa"/>
            <w:vMerge w:val="continue"/>
            <w:vAlign w:val="center"/>
          </w:tcPr>
          <w:p>
            <w:pPr>
              <w:spacing w:line="300" w:lineRule="exact"/>
              <w:jc w:val="left"/>
              <w:rPr>
                <w:rFonts w:ascii="宋体" w:hAnsi="宋体" w:cs="宋体"/>
                <w:sz w:val="18"/>
                <w:szCs w:val="18"/>
              </w:rPr>
            </w:pPr>
          </w:p>
        </w:tc>
        <w:tc>
          <w:tcPr>
            <w:tcW w:w="2865" w:type="dxa"/>
            <w:vMerge w:val="continue"/>
            <w:vAlign w:val="center"/>
          </w:tcPr>
          <w:p>
            <w:pPr>
              <w:spacing w:line="300" w:lineRule="exact"/>
              <w:jc w:val="left"/>
              <w:rPr>
                <w:rFonts w:ascii="宋体" w:hAnsi="宋体" w:cs="宋体"/>
                <w:sz w:val="18"/>
                <w:szCs w:val="18"/>
              </w:rPr>
            </w:pPr>
          </w:p>
        </w:tc>
        <w:tc>
          <w:tcPr>
            <w:tcW w:w="1842" w:type="dxa"/>
            <w:vAlign w:val="center"/>
          </w:tcPr>
          <w:p>
            <w:pPr>
              <w:spacing w:line="300" w:lineRule="exact"/>
              <w:jc w:val="center"/>
              <w:rPr>
                <w:rFonts w:ascii="宋体" w:hAnsi="宋体" w:cs="宋体"/>
                <w:sz w:val="18"/>
                <w:szCs w:val="18"/>
              </w:rPr>
            </w:pPr>
            <w:r>
              <w:rPr>
                <w:rFonts w:hint="eastAsia" w:ascii="宋体" w:hAnsi="宋体" w:cs="宋体"/>
                <w:sz w:val="18"/>
                <w:szCs w:val="18"/>
              </w:rPr>
              <w:t>组织代表培训完成率</w:t>
            </w:r>
          </w:p>
        </w:tc>
        <w:tc>
          <w:tcPr>
            <w:tcW w:w="784" w:type="dxa"/>
            <w:vAlign w:val="center"/>
          </w:tcPr>
          <w:p>
            <w:pPr>
              <w:spacing w:line="300" w:lineRule="exact"/>
              <w:jc w:val="center"/>
              <w:rPr>
                <w:rFonts w:ascii="宋体" w:hAnsi="宋体" w:cs="宋体"/>
                <w:sz w:val="18"/>
                <w:szCs w:val="18"/>
              </w:rPr>
            </w:pPr>
            <w:r>
              <w:rPr>
                <w:rFonts w:hint="eastAsia" w:ascii="宋体" w:hAnsi="宋体" w:cs="宋体"/>
                <w:sz w:val="18"/>
                <w:szCs w:val="18"/>
              </w:rPr>
              <w:t>≥100%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≥95%</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c>
          <w:tcPr>
            <w:tcW w:w="708"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9" w:hRule="atLeast"/>
          <w:jc w:val="center"/>
        </w:trPr>
        <w:tc>
          <w:tcPr>
            <w:tcW w:w="1327" w:type="dxa"/>
            <w:vMerge w:val="continue"/>
            <w:vAlign w:val="center"/>
          </w:tcPr>
          <w:p>
            <w:pPr>
              <w:spacing w:line="300" w:lineRule="exact"/>
              <w:jc w:val="left"/>
              <w:rPr>
                <w:rFonts w:ascii="宋体" w:hAnsi="宋体" w:cs="宋体"/>
                <w:b/>
                <w:sz w:val="18"/>
                <w:szCs w:val="18"/>
              </w:rPr>
            </w:pPr>
          </w:p>
        </w:tc>
        <w:tc>
          <w:tcPr>
            <w:tcW w:w="992" w:type="dxa"/>
            <w:vMerge w:val="continue"/>
            <w:vAlign w:val="center"/>
          </w:tcPr>
          <w:p>
            <w:pPr>
              <w:spacing w:line="300" w:lineRule="exact"/>
              <w:jc w:val="center"/>
              <w:rPr>
                <w:rFonts w:ascii="宋体" w:hAnsi="宋体" w:cs="宋体"/>
                <w:b/>
                <w:sz w:val="18"/>
                <w:szCs w:val="18"/>
              </w:rPr>
            </w:pPr>
          </w:p>
        </w:tc>
        <w:tc>
          <w:tcPr>
            <w:tcW w:w="4223" w:type="dxa"/>
            <w:vMerge w:val="continue"/>
            <w:vAlign w:val="center"/>
          </w:tcPr>
          <w:p>
            <w:pPr>
              <w:spacing w:line="300" w:lineRule="exact"/>
              <w:jc w:val="left"/>
              <w:rPr>
                <w:rFonts w:ascii="宋体" w:hAnsi="宋体" w:cs="宋体"/>
                <w:sz w:val="18"/>
                <w:szCs w:val="18"/>
              </w:rPr>
            </w:pPr>
          </w:p>
        </w:tc>
        <w:tc>
          <w:tcPr>
            <w:tcW w:w="2865" w:type="dxa"/>
            <w:vMerge w:val="continue"/>
            <w:vAlign w:val="center"/>
          </w:tcPr>
          <w:p>
            <w:pPr>
              <w:spacing w:line="300" w:lineRule="exact"/>
              <w:jc w:val="left"/>
              <w:rPr>
                <w:rFonts w:ascii="宋体" w:hAnsi="宋体" w:cs="宋体"/>
                <w:sz w:val="18"/>
                <w:szCs w:val="18"/>
              </w:rPr>
            </w:pPr>
          </w:p>
        </w:tc>
        <w:tc>
          <w:tcPr>
            <w:tcW w:w="1842" w:type="dxa"/>
            <w:vAlign w:val="center"/>
          </w:tcPr>
          <w:p>
            <w:pPr>
              <w:spacing w:line="300" w:lineRule="exact"/>
              <w:jc w:val="center"/>
              <w:rPr>
                <w:rFonts w:ascii="宋体" w:hAnsi="宋体" w:cs="宋体"/>
                <w:sz w:val="18"/>
                <w:szCs w:val="18"/>
              </w:rPr>
            </w:pPr>
            <w:r>
              <w:rPr>
                <w:rFonts w:hint="eastAsia" w:ascii="宋体" w:hAnsi="宋体" w:cs="宋体"/>
                <w:sz w:val="18"/>
                <w:szCs w:val="18"/>
              </w:rPr>
              <w:t>代表建议议案办结率</w:t>
            </w:r>
          </w:p>
        </w:tc>
        <w:tc>
          <w:tcPr>
            <w:tcW w:w="784" w:type="dxa"/>
            <w:vAlign w:val="center"/>
          </w:tcPr>
          <w:p>
            <w:pPr>
              <w:spacing w:line="300" w:lineRule="exact"/>
              <w:jc w:val="center"/>
              <w:rPr>
                <w:rFonts w:ascii="宋体" w:hAnsi="宋体" w:cs="宋体"/>
                <w:sz w:val="18"/>
                <w:szCs w:val="18"/>
              </w:rPr>
            </w:pPr>
            <w:r>
              <w:rPr>
                <w:rFonts w:hint="eastAsia" w:ascii="宋体" w:hAnsi="宋体" w:cs="宋体"/>
                <w:sz w:val="18"/>
                <w:szCs w:val="18"/>
              </w:rPr>
              <w:t>≥100%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≥95%</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c>
          <w:tcPr>
            <w:tcW w:w="708"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8" w:hRule="atLeast"/>
          <w:jc w:val="center"/>
        </w:trPr>
        <w:tc>
          <w:tcPr>
            <w:tcW w:w="1327" w:type="dxa"/>
            <w:vMerge w:val="restart"/>
            <w:vAlign w:val="center"/>
          </w:tcPr>
          <w:p>
            <w:pPr>
              <w:spacing w:line="300" w:lineRule="exact"/>
              <w:jc w:val="left"/>
              <w:rPr>
                <w:rFonts w:ascii="宋体" w:hAnsi="宋体" w:cs="宋体"/>
                <w:b/>
                <w:sz w:val="18"/>
                <w:szCs w:val="18"/>
              </w:rPr>
            </w:pPr>
            <w:r>
              <w:rPr>
                <w:rFonts w:hint="eastAsia" w:ascii="宋体" w:hAnsi="宋体" w:cs="宋体"/>
                <w:b/>
                <w:sz w:val="18"/>
                <w:szCs w:val="18"/>
              </w:rPr>
              <w:t>人大事务管理</w:t>
            </w:r>
          </w:p>
          <w:p>
            <w:pPr>
              <w:spacing w:line="300" w:lineRule="exact"/>
              <w:jc w:val="left"/>
              <w:rPr>
                <w:rFonts w:ascii="宋体" w:hAnsi="宋体" w:cs="宋体"/>
                <w:b/>
                <w:sz w:val="18"/>
                <w:szCs w:val="18"/>
              </w:rPr>
            </w:pPr>
            <w:r>
              <w:rPr>
                <w:rFonts w:hint="eastAsia" w:ascii="宋体" w:hAnsi="宋体" w:cs="宋体"/>
                <w:b/>
                <w:sz w:val="18"/>
                <w:szCs w:val="18"/>
              </w:rPr>
              <w:t>　　</w:t>
            </w:r>
          </w:p>
        </w:tc>
        <w:tc>
          <w:tcPr>
            <w:tcW w:w="992" w:type="dxa"/>
            <w:vMerge w:val="restart"/>
            <w:vAlign w:val="center"/>
          </w:tcPr>
          <w:p>
            <w:pPr>
              <w:spacing w:line="300" w:lineRule="exact"/>
              <w:jc w:val="center"/>
              <w:rPr>
                <w:rFonts w:ascii="宋体" w:hAnsi="宋体" w:cs="宋体"/>
                <w:b/>
                <w:sz w:val="18"/>
                <w:szCs w:val="18"/>
              </w:rPr>
            </w:pPr>
            <w:r>
              <w:rPr>
                <w:rFonts w:hint="eastAsia" w:ascii="宋体" w:hAnsi="宋体" w:cs="宋体"/>
                <w:b/>
                <w:sz w:val="18"/>
                <w:szCs w:val="18"/>
              </w:rPr>
              <w:t>114.7</w:t>
            </w:r>
          </w:p>
        </w:tc>
        <w:tc>
          <w:tcPr>
            <w:tcW w:w="4223" w:type="dxa"/>
            <w:vMerge w:val="restart"/>
            <w:vAlign w:val="center"/>
          </w:tcPr>
          <w:p>
            <w:pPr>
              <w:spacing w:line="300" w:lineRule="exact"/>
              <w:jc w:val="left"/>
              <w:rPr>
                <w:rFonts w:ascii="宋体" w:hAnsi="宋体" w:cs="宋体"/>
                <w:sz w:val="18"/>
                <w:szCs w:val="18"/>
              </w:rPr>
            </w:pPr>
            <w:r>
              <w:rPr>
                <w:rFonts w:hint="eastAsia" w:ascii="宋体" w:hAnsi="宋体" w:cs="宋体"/>
                <w:sz w:val="18"/>
                <w:szCs w:val="18"/>
              </w:rPr>
              <w:t>办理来信来访，日常外事活动和省人大代表团出访事务，内外宾接待，常委会新闻发布和对外宣传，人大系列工作的宣传报道；会议表决系统建设与维护；代表大会和常委会会议公报、人大工作年鉴、大事记和组织史的编写及印刷；负责省内外人大常委会联系；重大课题调研。</w:t>
            </w:r>
            <w:r>
              <w:rPr>
                <w:rFonts w:hint="eastAsia" w:ascii="宋体" w:hAnsi="宋体" w:cs="宋体"/>
                <w:color w:val="000000"/>
                <w:kern w:val="0"/>
                <w:sz w:val="18"/>
                <w:szCs w:val="18"/>
              </w:rPr>
              <w:t>新闻宣传和机关信息化建设与维护；《承德人大》的编辑印刷；信访工作；常委会会议室电子表决系统建设。</w:t>
            </w:r>
            <w:r>
              <w:rPr>
                <w:rFonts w:hint="eastAsia" w:ascii="宋体" w:hAnsi="宋体" w:cs="宋体"/>
                <w:sz w:val="18"/>
                <w:szCs w:val="18"/>
              </w:rPr>
              <w:t>机关文书档案印信管理和保密，机关人事、离退休人员服务，财务、基建、后勤服务及警卫工作；机关信息建设和办公自动化建设；负责对全市人大系统信息建设和办公自动化建设的指导、规划、组织、协调工作；纪检组办案及培训工作；机关工作人员的培训工作；领导交办的其他工作。</w:t>
            </w:r>
          </w:p>
        </w:tc>
        <w:tc>
          <w:tcPr>
            <w:tcW w:w="2865" w:type="dxa"/>
            <w:vMerge w:val="restart"/>
            <w:vAlign w:val="center"/>
          </w:tcPr>
          <w:p>
            <w:pPr>
              <w:spacing w:line="300" w:lineRule="exact"/>
              <w:jc w:val="left"/>
              <w:rPr>
                <w:rFonts w:ascii="宋体" w:hAnsi="宋体" w:cs="宋体"/>
                <w:sz w:val="18"/>
                <w:szCs w:val="18"/>
              </w:rPr>
            </w:pPr>
            <w:r>
              <w:rPr>
                <w:rFonts w:hint="eastAsia" w:ascii="宋体" w:hAnsi="宋体" w:cs="宋体"/>
                <w:sz w:val="18"/>
                <w:szCs w:val="18"/>
              </w:rPr>
              <w:t>保障新闻宣传与新闻发布工作正常开展，提高人大信息透明度和影响力，加强人大对内、对外交流。保障会议表决系统正常运转；网络与办公平台正常运行，提高常委会审议质量。机关基础设施设备正常运转，信息化保障、老干部服务保障能力进一步提高。促进机关自身建设、服务保障能力进一步提升。</w:t>
            </w:r>
          </w:p>
        </w:tc>
        <w:tc>
          <w:tcPr>
            <w:tcW w:w="1842" w:type="dxa"/>
            <w:vAlign w:val="center"/>
          </w:tcPr>
          <w:p>
            <w:pPr>
              <w:spacing w:line="300" w:lineRule="exact"/>
              <w:jc w:val="center"/>
              <w:rPr>
                <w:rFonts w:ascii="宋体" w:hAnsi="宋体" w:cs="宋体"/>
                <w:sz w:val="18"/>
                <w:szCs w:val="18"/>
              </w:rPr>
            </w:pPr>
            <w:r>
              <w:rPr>
                <w:rFonts w:hint="eastAsia" w:ascii="宋体" w:hAnsi="宋体" w:cs="宋体"/>
                <w:sz w:val="18"/>
                <w:szCs w:val="18"/>
              </w:rPr>
              <w:t>事务管理工作完成率</w:t>
            </w:r>
          </w:p>
        </w:tc>
        <w:tc>
          <w:tcPr>
            <w:tcW w:w="784" w:type="dxa"/>
            <w:vAlign w:val="center"/>
          </w:tcPr>
          <w:p>
            <w:pPr>
              <w:spacing w:line="300" w:lineRule="exact"/>
              <w:jc w:val="center"/>
              <w:rPr>
                <w:rFonts w:ascii="宋体" w:hAnsi="宋体" w:cs="宋体"/>
                <w:sz w:val="18"/>
                <w:szCs w:val="18"/>
              </w:rPr>
            </w:pPr>
            <w:r>
              <w:rPr>
                <w:rFonts w:hint="eastAsia" w:ascii="宋体" w:hAnsi="宋体" w:cs="宋体"/>
                <w:sz w:val="18"/>
                <w:szCs w:val="18"/>
              </w:rPr>
              <w:t>100%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≥95%</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c>
          <w:tcPr>
            <w:tcW w:w="708"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5" w:hRule="atLeast"/>
          <w:jc w:val="center"/>
        </w:trPr>
        <w:tc>
          <w:tcPr>
            <w:tcW w:w="1327" w:type="dxa"/>
            <w:vMerge w:val="continue"/>
            <w:vAlign w:val="center"/>
          </w:tcPr>
          <w:p>
            <w:pPr>
              <w:spacing w:line="300" w:lineRule="exact"/>
              <w:jc w:val="left"/>
              <w:rPr>
                <w:rFonts w:ascii="宋体" w:hAnsi="宋体" w:cs="宋体"/>
                <w:b/>
                <w:sz w:val="18"/>
                <w:szCs w:val="18"/>
              </w:rPr>
            </w:pPr>
          </w:p>
        </w:tc>
        <w:tc>
          <w:tcPr>
            <w:tcW w:w="992" w:type="dxa"/>
            <w:vMerge w:val="continue"/>
            <w:vAlign w:val="center"/>
          </w:tcPr>
          <w:p>
            <w:pPr>
              <w:spacing w:line="300" w:lineRule="exact"/>
              <w:jc w:val="left"/>
              <w:rPr>
                <w:rFonts w:ascii="宋体" w:hAnsi="宋体" w:cs="宋体"/>
                <w:sz w:val="18"/>
                <w:szCs w:val="18"/>
              </w:rPr>
            </w:pPr>
          </w:p>
        </w:tc>
        <w:tc>
          <w:tcPr>
            <w:tcW w:w="4223" w:type="dxa"/>
            <w:vMerge w:val="continue"/>
            <w:vAlign w:val="center"/>
          </w:tcPr>
          <w:p>
            <w:pPr>
              <w:spacing w:line="300" w:lineRule="exact"/>
              <w:jc w:val="left"/>
              <w:rPr>
                <w:rFonts w:ascii="宋体" w:hAnsi="宋体" w:cs="宋体"/>
                <w:sz w:val="18"/>
                <w:szCs w:val="18"/>
              </w:rPr>
            </w:pPr>
          </w:p>
        </w:tc>
        <w:tc>
          <w:tcPr>
            <w:tcW w:w="2865" w:type="dxa"/>
            <w:vMerge w:val="continue"/>
            <w:vAlign w:val="center"/>
          </w:tcPr>
          <w:p>
            <w:pPr>
              <w:spacing w:line="300" w:lineRule="exact"/>
              <w:jc w:val="left"/>
              <w:rPr>
                <w:rFonts w:ascii="宋体" w:hAnsi="宋体" w:cs="宋体"/>
                <w:sz w:val="18"/>
                <w:szCs w:val="18"/>
              </w:rPr>
            </w:pPr>
          </w:p>
        </w:tc>
        <w:tc>
          <w:tcPr>
            <w:tcW w:w="1842" w:type="dxa"/>
            <w:vAlign w:val="center"/>
          </w:tcPr>
          <w:p>
            <w:pPr>
              <w:spacing w:line="300" w:lineRule="exact"/>
              <w:jc w:val="left"/>
              <w:rPr>
                <w:rFonts w:ascii="宋体" w:hAnsi="宋体" w:cs="宋体"/>
                <w:sz w:val="18"/>
                <w:szCs w:val="18"/>
              </w:rPr>
            </w:pPr>
            <w:r>
              <w:rPr>
                <w:rFonts w:hint="eastAsia" w:ascii="宋体" w:hAnsi="宋体" w:cs="宋体"/>
                <w:sz w:val="18"/>
                <w:szCs w:val="18"/>
              </w:rPr>
              <w:t>人员培训工作完成率</w:t>
            </w:r>
          </w:p>
        </w:tc>
        <w:tc>
          <w:tcPr>
            <w:tcW w:w="784" w:type="dxa"/>
            <w:vAlign w:val="center"/>
          </w:tcPr>
          <w:p>
            <w:pPr>
              <w:spacing w:line="300" w:lineRule="exact"/>
              <w:jc w:val="center"/>
              <w:rPr>
                <w:rFonts w:ascii="宋体" w:hAnsi="宋体" w:cs="宋体"/>
                <w:sz w:val="18"/>
                <w:szCs w:val="18"/>
              </w:rPr>
            </w:pPr>
            <w:r>
              <w:rPr>
                <w:rFonts w:hint="eastAsia" w:ascii="宋体" w:hAnsi="宋体" w:cs="宋体"/>
                <w:sz w:val="18"/>
                <w:szCs w:val="18"/>
              </w:rPr>
              <w:t>100%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≥95%</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c>
          <w:tcPr>
            <w:tcW w:w="708"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4" w:hRule="atLeast"/>
          <w:jc w:val="center"/>
        </w:trPr>
        <w:tc>
          <w:tcPr>
            <w:tcW w:w="1327" w:type="dxa"/>
            <w:vMerge w:val="continue"/>
            <w:vAlign w:val="center"/>
          </w:tcPr>
          <w:p>
            <w:pPr>
              <w:spacing w:line="300" w:lineRule="exact"/>
              <w:jc w:val="left"/>
              <w:rPr>
                <w:rFonts w:ascii="宋体" w:hAnsi="宋体" w:cs="宋体"/>
                <w:b/>
                <w:sz w:val="18"/>
                <w:szCs w:val="18"/>
              </w:rPr>
            </w:pPr>
          </w:p>
        </w:tc>
        <w:tc>
          <w:tcPr>
            <w:tcW w:w="992" w:type="dxa"/>
            <w:vMerge w:val="continue"/>
            <w:vAlign w:val="center"/>
          </w:tcPr>
          <w:p>
            <w:pPr>
              <w:spacing w:line="300" w:lineRule="exact"/>
              <w:jc w:val="left"/>
              <w:rPr>
                <w:rFonts w:ascii="宋体" w:hAnsi="宋体" w:cs="宋体"/>
                <w:sz w:val="18"/>
                <w:szCs w:val="18"/>
              </w:rPr>
            </w:pPr>
          </w:p>
        </w:tc>
        <w:tc>
          <w:tcPr>
            <w:tcW w:w="4223" w:type="dxa"/>
            <w:vMerge w:val="continue"/>
            <w:vAlign w:val="center"/>
          </w:tcPr>
          <w:p>
            <w:pPr>
              <w:spacing w:line="300" w:lineRule="exact"/>
              <w:jc w:val="left"/>
              <w:rPr>
                <w:rFonts w:ascii="宋体" w:hAnsi="宋体" w:cs="宋体"/>
                <w:sz w:val="18"/>
                <w:szCs w:val="18"/>
              </w:rPr>
            </w:pPr>
          </w:p>
        </w:tc>
        <w:tc>
          <w:tcPr>
            <w:tcW w:w="2865" w:type="dxa"/>
            <w:vMerge w:val="continue"/>
            <w:vAlign w:val="center"/>
          </w:tcPr>
          <w:p>
            <w:pPr>
              <w:spacing w:line="300" w:lineRule="exact"/>
              <w:jc w:val="left"/>
              <w:rPr>
                <w:rFonts w:ascii="宋体" w:hAnsi="宋体" w:cs="宋体"/>
                <w:sz w:val="18"/>
                <w:szCs w:val="18"/>
              </w:rPr>
            </w:pPr>
          </w:p>
        </w:tc>
        <w:tc>
          <w:tcPr>
            <w:tcW w:w="1842" w:type="dxa"/>
            <w:vAlign w:val="center"/>
          </w:tcPr>
          <w:p>
            <w:pPr>
              <w:spacing w:line="300" w:lineRule="exact"/>
              <w:jc w:val="left"/>
              <w:rPr>
                <w:rFonts w:ascii="宋体" w:hAnsi="宋体" w:cs="宋体"/>
                <w:sz w:val="18"/>
                <w:szCs w:val="18"/>
              </w:rPr>
            </w:pPr>
            <w:r>
              <w:rPr>
                <w:rFonts w:hint="eastAsia" w:ascii="宋体" w:hAnsi="宋体" w:cs="宋体"/>
                <w:sz w:val="18"/>
                <w:szCs w:val="18"/>
              </w:rPr>
              <w:t>人大工作宣传完成率</w:t>
            </w:r>
          </w:p>
        </w:tc>
        <w:tc>
          <w:tcPr>
            <w:tcW w:w="784" w:type="dxa"/>
            <w:vAlign w:val="center"/>
          </w:tcPr>
          <w:p>
            <w:pPr>
              <w:spacing w:line="300" w:lineRule="exact"/>
              <w:jc w:val="center"/>
              <w:rPr>
                <w:rFonts w:ascii="宋体" w:hAnsi="宋体" w:cs="宋体"/>
                <w:sz w:val="18"/>
                <w:szCs w:val="18"/>
              </w:rPr>
            </w:pPr>
            <w:r>
              <w:rPr>
                <w:rFonts w:hint="eastAsia" w:ascii="宋体" w:hAnsi="宋体" w:cs="宋体"/>
                <w:sz w:val="18"/>
                <w:szCs w:val="18"/>
              </w:rPr>
              <w:t>100%</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≥95%</w:t>
            </w:r>
          </w:p>
        </w:tc>
        <w:tc>
          <w:tcPr>
            <w:tcW w:w="709"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c>
          <w:tcPr>
            <w:tcW w:w="708" w:type="dxa"/>
            <w:vAlign w:val="center"/>
          </w:tcPr>
          <w:p>
            <w:pPr>
              <w:spacing w:line="300" w:lineRule="exact"/>
              <w:jc w:val="center"/>
              <w:rPr>
                <w:rFonts w:ascii="宋体" w:hAnsi="宋体" w:cs="宋体"/>
                <w:sz w:val="18"/>
                <w:szCs w:val="18"/>
              </w:rPr>
            </w:pPr>
            <w:r>
              <w:rPr>
                <w:rFonts w:hint="eastAsia" w:ascii="宋体" w:hAnsi="宋体" w:cs="宋体"/>
                <w:sz w:val="18"/>
                <w:szCs w:val="18"/>
              </w:rPr>
              <w:t>＜90%</w:t>
            </w:r>
          </w:p>
        </w:tc>
      </w:tr>
    </w:tbl>
    <w:p>
      <w:pPr>
        <w:spacing w:line="300" w:lineRule="exact"/>
        <w:jc w:val="left"/>
        <w:outlineLvl w:val="0"/>
        <w:rPr>
          <w:rFonts w:ascii="宋体" w:hAnsi="宋体" w:cs="宋体"/>
        </w:rPr>
        <w:sectPr>
          <w:pgSz w:w="16839" w:h="11907" w:orient="landscape"/>
          <w:pgMar w:top="1020" w:right="1361" w:bottom="1020" w:left="1361" w:header="851" w:footer="992" w:gutter="0"/>
          <w:cols w:space="720" w:num="1"/>
          <w:docGrid w:type="lines" w:linePitch="312" w:charSpace="0"/>
        </w:sectPr>
      </w:pPr>
    </w:p>
    <w:bookmarkEnd w:id="0"/>
    <w:p>
      <w:pPr>
        <w:numPr>
          <w:ilvl w:val="0"/>
          <w:numId w:val="3"/>
        </w:num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政府采购预算情况</w:t>
      </w:r>
    </w:p>
    <w:p>
      <w:pPr>
        <w:ind w:firstLine="640" w:firstLineChars="200"/>
        <w:outlineLvl w:val="0"/>
        <w:rPr>
          <w:rFonts w:ascii="黑体" w:hAnsi="黑体" w:eastAsia="黑体" w:cs="Times New Roman"/>
          <w:sz w:val="32"/>
          <w:szCs w:val="32"/>
        </w:rPr>
      </w:pPr>
      <w:r>
        <w:rPr>
          <w:rFonts w:ascii="Times New Roman" w:hAnsi="Times New Roman" w:eastAsia="仿宋" w:cs="Times New Roman"/>
          <w:sz w:val="32"/>
          <w:szCs w:val="24"/>
        </w:rPr>
        <w:t>201</w:t>
      </w:r>
      <w:r>
        <w:rPr>
          <w:rFonts w:hint="eastAsia" w:ascii="Times New Roman" w:hAnsi="Times New Roman" w:eastAsia="仿宋" w:cs="Times New Roman"/>
          <w:sz w:val="32"/>
          <w:szCs w:val="24"/>
        </w:rPr>
        <w:t>9</w:t>
      </w:r>
      <w:r>
        <w:rPr>
          <w:rFonts w:ascii="Times New Roman" w:hAnsi="Times New Roman" w:eastAsia="仿宋" w:cs="Times New Roman"/>
          <w:sz w:val="32"/>
          <w:szCs w:val="24"/>
        </w:rPr>
        <w:t>年，</w:t>
      </w:r>
      <w:r>
        <w:rPr>
          <w:rFonts w:hint="eastAsia" w:ascii="Times New Roman" w:hAnsi="Times New Roman" w:eastAsia="仿宋" w:cs="Times New Roman"/>
          <w:sz w:val="32"/>
          <w:szCs w:val="24"/>
        </w:rPr>
        <w:t>人大常委会办公室</w:t>
      </w:r>
      <w:r>
        <w:rPr>
          <w:rFonts w:ascii="Times New Roman" w:hAnsi="Times New Roman" w:eastAsia="仿宋" w:cs="Times New Roman"/>
          <w:sz w:val="32"/>
          <w:szCs w:val="24"/>
        </w:rPr>
        <w:t>安排政府采购预算</w:t>
      </w:r>
      <w:r>
        <w:rPr>
          <w:rFonts w:hint="eastAsia" w:ascii="Times New Roman" w:hAnsi="Times New Roman" w:eastAsia="仿宋" w:cs="Times New Roman"/>
          <w:sz w:val="32"/>
          <w:szCs w:val="24"/>
        </w:rPr>
        <w:t>9</w:t>
      </w:r>
      <w:r>
        <w:rPr>
          <w:rFonts w:ascii="Times New Roman" w:hAnsi="Times New Roman" w:eastAsia="仿宋" w:cs="Times New Roman"/>
          <w:sz w:val="32"/>
          <w:szCs w:val="24"/>
        </w:rPr>
        <w:t>万元。具体内容见下表。</w:t>
      </w:r>
    </w:p>
    <w:tbl>
      <w:tblPr>
        <w:tblStyle w:val="4"/>
        <w:tblW w:w="13814" w:type="dxa"/>
        <w:tblInd w:w="0" w:type="dxa"/>
        <w:tblLayout w:type="fixed"/>
        <w:tblCellMar>
          <w:top w:w="15" w:type="dxa"/>
          <w:left w:w="15" w:type="dxa"/>
          <w:bottom w:w="15" w:type="dxa"/>
          <w:right w:w="15" w:type="dxa"/>
        </w:tblCellMar>
      </w:tblPr>
      <w:tblGrid>
        <w:gridCol w:w="1841"/>
        <w:gridCol w:w="1183"/>
        <w:gridCol w:w="1919"/>
        <w:gridCol w:w="1188"/>
        <w:gridCol w:w="1020"/>
        <w:gridCol w:w="987"/>
        <w:gridCol w:w="720"/>
        <w:gridCol w:w="630"/>
        <w:gridCol w:w="723"/>
        <w:gridCol w:w="855"/>
        <w:gridCol w:w="573"/>
        <w:gridCol w:w="570"/>
        <w:gridCol w:w="706"/>
        <w:gridCol w:w="899"/>
      </w:tblGrid>
      <w:tr>
        <w:tblPrEx>
          <w:tblCellMar>
            <w:top w:w="15" w:type="dxa"/>
            <w:left w:w="15" w:type="dxa"/>
            <w:bottom w:w="15" w:type="dxa"/>
            <w:right w:w="15" w:type="dxa"/>
          </w:tblCellMar>
        </w:tblPrEx>
        <w:trPr>
          <w:trHeight w:val="1203" w:hRule="atLeast"/>
        </w:trPr>
        <w:tc>
          <w:tcPr>
            <w:tcW w:w="8858" w:type="dxa"/>
            <w:gridSpan w:val="7"/>
            <w:tcBorders>
              <w:top w:val="single" w:color="FFFFFF" w:sz="12" w:space="0"/>
              <w:left w:val="single" w:color="FFFFFF" w:sz="12" w:space="0"/>
              <w:bottom w:val="single" w:color="000000" w:sz="12" w:space="0"/>
              <w:right w:val="single" w:color="FFFFFF" w:sz="12" w:space="0"/>
            </w:tcBorders>
            <w:shd w:val="clear" w:color="auto" w:fill="auto"/>
            <w:vAlign w:val="center"/>
          </w:tcPr>
          <w:p>
            <w:pPr>
              <w:widowControl/>
              <w:ind w:firstLine="4800" w:firstLineChars="1500"/>
              <w:jc w:val="left"/>
              <w:textAlignment w:val="center"/>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 xml:space="preserve"> 政府采购计划表</w:t>
            </w:r>
          </w:p>
          <w:p>
            <w:pPr>
              <w:widowControl/>
              <w:jc w:val="left"/>
              <w:textAlignment w:val="center"/>
              <w:rPr>
                <w:rFonts w:ascii="方正小标宋_GBK" w:hAnsi="方正小标宋_GBK" w:eastAsia="方正小标宋_GBK" w:cs="方正小标宋_GBK"/>
                <w:color w:val="000000"/>
                <w:sz w:val="24"/>
                <w:szCs w:val="24"/>
              </w:rPr>
            </w:pPr>
            <w:r>
              <w:rPr>
                <w:rFonts w:ascii="方正小标宋_GBK" w:hAnsi="方正小标宋_GBK" w:eastAsia="方正小标宋_GBK" w:cs="方正小标宋_GBK"/>
                <w:color w:val="000000"/>
                <w:kern w:val="0"/>
                <w:sz w:val="24"/>
                <w:szCs w:val="24"/>
              </w:rPr>
              <w:t>承德市人民代表大会常务委员会办公室</w:t>
            </w:r>
          </w:p>
        </w:tc>
        <w:tc>
          <w:tcPr>
            <w:tcW w:w="4956" w:type="dxa"/>
            <w:gridSpan w:val="7"/>
            <w:tcBorders>
              <w:top w:val="single" w:color="FFFFFF" w:sz="12" w:space="0"/>
              <w:bottom w:val="single" w:color="000000" w:sz="12" w:space="0"/>
              <w:right w:val="single" w:color="FFFFFF" w:sz="12" w:space="0"/>
            </w:tcBorders>
            <w:shd w:val="clear" w:color="auto" w:fill="auto"/>
            <w:vAlign w:val="center"/>
          </w:tcPr>
          <w:p>
            <w:pPr>
              <w:widowControl/>
              <w:jc w:val="right"/>
              <w:textAlignment w:val="center"/>
              <w:rPr>
                <w:rFonts w:ascii="方正书宋_GBK" w:hAnsi="方正书宋_GBK" w:eastAsia="方正书宋_GBK" w:cs="方正书宋_GBK"/>
                <w:color w:val="000000"/>
                <w:sz w:val="24"/>
                <w:szCs w:val="24"/>
              </w:rPr>
            </w:pPr>
            <w:r>
              <w:rPr>
                <w:rFonts w:ascii="方正书宋_GBK" w:hAnsi="方正书宋_GBK" w:eastAsia="方正书宋_GBK" w:cs="方正书宋_GBK"/>
                <w:color w:val="000000"/>
                <w:kern w:val="0"/>
                <w:sz w:val="24"/>
                <w:szCs w:val="24"/>
              </w:rPr>
              <w:t>单位：万元</w:t>
            </w:r>
          </w:p>
        </w:tc>
      </w:tr>
      <w:tr>
        <w:tblPrEx>
          <w:tblCellMar>
            <w:top w:w="15" w:type="dxa"/>
            <w:left w:w="15" w:type="dxa"/>
            <w:bottom w:w="15" w:type="dxa"/>
            <w:right w:w="15" w:type="dxa"/>
          </w:tblCellMar>
        </w:tblPrEx>
        <w:trPr>
          <w:trHeight w:val="300" w:hRule="atLeast"/>
        </w:trPr>
        <w:tc>
          <w:tcPr>
            <w:tcW w:w="3024" w:type="dxa"/>
            <w:gridSpan w:val="2"/>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政府采购项目来源</w:t>
            </w:r>
          </w:p>
        </w:tc>
        <w:tc>
          <w:tcPr>
            <w:tcW w:w="1919"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采购物品名称</w:t>
            </w:r>
          </w:p>
        </w:tc>
        <w:tc>
          <w:tcPr>
            <w:tcW w:w="1188" w:type="dxa"/>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kern w:val="0"/>
                <w:szCs w:val="21"/>
              </w:rPr>
            </w:pPr>
            <w:r>
              <w:rPr>
                <w:rFonts w:ascii="方正书宋_GBK" w:hAnsi="方正书宋_GBK" w:eastAsia="方正书宋_GBK" w:cs="方正书宋_GBK"/>
                <w:b/>
                <w:color w:val="000000"/>
                <w:kern w:val="0"/>
                <w:szCs w:val="21"/>
              </w:rPr>
              <w:t>政府采购</w:t>
            </w:r>
          </w:p>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目录序号</w:t>
            </w:r>
          </w:p>
        </w:tc>
        <w:tc>
          <w:tcPr>
            <w:tcW w:w="1020" w:type="dxa"/>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单位</w:t>
            </w:r>
          </w:p>
        </w:tc>
        <w:tc>
          <w:tcPr>
            <w:tcW w:w="987" w:type="dxa"/>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数量</w:t>
            </w:r>
          </w:p>
        </w:tc>
        <w:tc>
          <w:tcPr>
            <w:tcW w:w="720" w:type="dxa"/>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单价</w:t>
            </w:r>
          </w:p>
        </w:tc>
        <w:tc>
          <w:tcPr>
            <w:tcW w:w="4956" w:type="dxa"/>
            <w:gridSpan w:val="7"/>
            <w:tcBorders>
              <w:top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政府采购金额</w:t>
            </w:r>
          </w:p>
        </w:tc>
      </w:tr>
      <w:tr>
        <w:tblPrEx>
          <w:tblCellMar>
            <w:top w:w="15" w:type="dxa"/>
            <w:left w:w="15" w:type="dxa"/>
            <w:bottom w:w="15" w:type="dxa"/>
            <w:right w:w="15" w:type="dxa"/>
          </w:tblCellMar>
        </w:tblPrEx>
        <w:trPr>
          <w:trHeight w:val="300" w:hRule="atLeast"/>
        </w:trPr>
        <w:tc>
          <w:tcPr>
            <w:tcW w:w="1841" w:type="dxa"/>
            <w:vMerge w:val="restart"/>
            <w:tcBorders>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项目名称</w:t>
            </w:r>
          </w:p>
        </w:tc>
        <w:tc>
          <w:tcPr>
            <w:tcW w:w="1183" w:type="dxa"/>
            <w:vMerge w:val="restart"/>
            <w:tcBorders>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预算资金</w:t>
            </w:r>
          </w:p>
        </w:tc>
        <w:tc>
          <w:tcPr>
            <w:tcW w:w="1919" w:type="dxa"/>
            <w:vMerge w:val="continue"/>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1188" w:type="dxa"/>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1020" w:type="dxa"/>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987" w:type="dxa"/>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720" w:type="dxa"/>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630" w:type="dxa"/>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总计</w:t>
            </w:r>
          </w:p>
        </w:tc>
        <w:tc>
          <w:tcPr>
            <w:tcW w:w="3427" w:type="dxa"/>
            <w:gridSpan w:val="5"/>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当年部门预算安排资金</w:t>
            </w:r>
          </w:p>
        </w:tc>
        <w:tc>
          <w:tcPr>
            <w:tcW w:w="899" w:type="dxa"/>
            <w:vMerge w:val="restart"/>
            <w:tcBorders>
              <w:top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其他渠道资金</w:t>
            </w:r>
          </w:p>
        </w:tc>
      </w:tr>
      <w:tr>
        <w:tblPrEx>
          <w:tblCellMar>
            <w:top w:w="15" w:type="dxa"/>
            <w:left w:w="15" w:type="dxa"/>
            <w:bottom w:w="15" w:type="dxa"/>
            <w:right w:w="15" w:type="dxa"/>
          </w:tblCellMar>
        </w:tblPrEx>
        <w:trPr>
          <w:trHeight w:val="1417" w:hRule="atLeast"/>
        </w:trPr>
        <w:tc>
          <w:tcPr>
            <w:tcW w:w="1841" w:type="dxa"/>
            <w:vMerge w:val="continue"/>
            <w:tcBorders>
              <w:left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1183" w:type="dxa"/>
            <w:vMerge w:val="continue"/>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1919" w:type="dxa"/>
            <w:vMerge w:val="continue"/>
            <w:tcBorders>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1188" w:type="dxa"/>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1020" w:type="dxa"/>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987" w:type="dxa"/>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720" w:type="dxa"/>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630" w:type="dxa"/>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c>
          <w:tcPr>
            <w:tcW w:w="723" w:type="dxa"/>
            <w:tcBorders>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合计</w:t>
            </w:r>
          </w:p>
        </w:tc>
        <w:tc>
          <w:tcPr>
            <w:tcW w:w="855" w:type="dxa"/>
            <w:tcBorders>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一般公共预算拨款</w:t>
            </w:r>
          </w:p>
        </w:tc>
        <w:tc>
          <w:tcPr>
            <w:tcW w:w="573" w:type="dxa"/>
            <w:tcBorders>
              <w:top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基金预算拨款</w:t>
            </w:r>
          </w:p>
        </w:tc>
        <w:tc>
          <w:tcPr>
            <w:tcW w:w="570" w:type="dxa"/>
            <w:tcBorders>
              <w:top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财政专户核拨</w:t>
            </w:r>
          </w:p>
        </w:tc>
        <w:tc>
          <w:tcPr>
            <w:tcW w:w="706" w:type="dxa"/>
            <w:tcBorders>
              <w:top w:val="single" w:color="000000" w:sz="12" w:space="0"/>
              <w:right w:val="single" w:color="000000" w:sz="12" w:space="0"/>
            </w:tcBorders>
            <w:shd w:val="clear" w:color="auto" w:fill="auto"/>
            <w:vAlign w:val="center"/>
          </w:tcPr>
          <w:p>
            <w:pPr>
              <w:widowControl/>
              <w:jc w:val="center"/>
              <w:textAlignment w:val="center"/>
              <w:rPr>
                <w:rFonts w:ascii="方正书宋_GBK" w:hAnsi="方正书宋_GBK" w:eastAsia="方正书宋_GBK" w:cs="方正书宋_GBK"/>
                <w:b/>
                <w:color w:val="000000"/>
                <w:kern w:val="0"/>
                <w:szCs w:val="21"/>
              </w:rPr>
            </w:pPr>
            <w:r>
              <w:rPr>
                <w:rFonts w:ascii="方正书宋_GBK" w:hAnsi="方正书宋_GBK" w:eastAsia="方正书宋_GBK" w:cs="方正书宋_GBK"/>
                <w:b/>
                <w:color w:val="000000"/>
                <w:kern w:val="0"/>
                <w:szCs w:val="21"/>
              </w:rPr>
              <w:t>其他来</w:t>
            </w:r>
          </w:p>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源收入</w:t>
            </w:r>
          </w:p>
        </w:tc>
        <w:tc>
          <w:tcPr>
            <w:tcW w:w="899" w:type="dxa"/>
            <w:vMerge w:val="continue"/>
            <w:tcBorders>
              <w:top w:val="single" w:color="000000" w:sz="12" w:space="0"/>
              <w:bottom w:val="single" w:color="000000" w:sz="12" w:space="0"/>
              <w:right w:val="single" w:color="000000" w:sz="12" w:space="0"/>
            </w:tcBorders>
            <w:shd w:val="clear" w:color="auto" w:fill="auto"/>
            <w:vAlign w:val="center"/>
          </w:tcPr>
          <w:p>
            <w:pPr>
              <w:jc w:val="center"/>
              <w:rPr>
                <w:rFonts w:ascii="方正书宋_GBK" w:hAnsi="方正书宋_GBK" w:eastAsia="方正书宋_GBK" w:cs="方正书宋_GBK"/>
                <w:b/>
                <w:color w:val="000000"/>
                <w:szCs w:val="21"/>
              </w:rPr>
            </w:pPr>
          </w:p>
        </w:tc>
      </w:tr>
      <w:tr>
        <w:tblPrEx>
          <w:tblCellMar>
            <w:top w:w="15" w:type="dxa"/>
            <w:left w:w="15" w:type="dxa"/>
            <w:bottom w:w="15" w:type="dxa"/>
            <w:right w:w="15" w:type="dxa"/>
          </w:tblCellMar>
        </w:tblPrEx>
        <w:trPr>
          <w:trHeight w:val="496" w:hRule="atLeast"/>
        </w:trPr>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ascii="方正书宋_GBK" w:hAnsi="方正书宋_GBK" w:eastAsia="方正书宋_GBK" w:cs="方正书宋_GBK"/>
                <w:b/>
                <w:color w:val="000000"/>
                <w:kern w:val="0"/>
                <w:szCs w:val="21"/>
              </w:rPr>
              <w:t>合　计</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b/>
                <w:color w:val="000000"/>
                <w:szCs w:val="21"/>
              </w:rPr>
            </w:pPr>
            <w:r>
              <w:rPr>
                <w:rFonts w:hint="eastAsia" w:ascii="方正书宋_GBK" w:hAnsi="方正书宋_GBK" w:eastAsia="方正书宋_GBK" w:cs="方正书宋_GBK"/>
                <w:b/>
                <w:color w:val="000000"/>
                <w:kern w:val="0"/>
                <w:szCs w:val="21"/>
              </w:rPr>
              <w:t>9.00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书宋_GBK" w:hAnsi="方正书宋_GBK" w:eastAsia="方正书宋_GBK" w:cs="方正书宋_GBK"/>
                <w:b/>
                <w:color w:val="000000"/>
                <w:szCs w:val="21"/>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书宋_GBK" w:hAnsi="方正书宋_GBK" w:eastAsia="方正书宋_GBK" w:cs="方正书宋_GBK"/>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书宋_GBK" w:hAnsi="方正书宋_GBK" w:eastAsia="方正书宋_GBK" w:cs="方正书宋_GBK"/>
                <w:b/>
                <w:color w:val="000000"/>
                <w:szCs w:val="21"/>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书宋_GBK" w:hAnsi="方正书宋_GBK" w:eastAsia="方正书宋_GBK" w:cs="方正书宋_GBK"/>
                <w:b/>
                <w:color w:val="000000"/>
                <w:szCs w:val="21"/>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书宋_GBK" w:hAnsi="方正书宋_GBK" w:eastAsia="方正书宋_GBK" w:cs="方正书宋_GBK"/>
                <w:b/>
                <w:color w:val="00000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9.0</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9.0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书宋_GBK" w:hAnsi="方正书宋_GBK" w:eastAsia="方正书宋_GBK" w:cs="方正书宋_GBK"/>
                <w:b/>
                <w:color w:val="00000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书宋_GBK" w:hAnsi="方正书宋_GBK" w:eastAsia="方正书宋_GBK" w:cs="方正书宋_GBK"/>
                <w:b/>
                <w:color w:val="000000"/>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书宋_GBK" w:hAnsi="方正书宋_GBK" w:eastAsia="方正书宋_GBK" w:cs="方正书宋_GBK"/>
                <w:b/>
                <w:color w:val="000000"/>
                <w:szCs w:val="21"/>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方正书宋_GBK" w:hAnsi="方正书宋_GBK" w:eastAsia="方正书宋_GBK" w:cs="方正书宋_GBK"/>
                <w:b/>
                <w:color w:val="000000"/>
                <w:szCs w:val="21"/>
              </w:rPr>
            </w:pPr>
          </w:p>
        </w:tc>
      </w:tr>
      <w:tr>
        <w:tblPrEx>
          <w:tblCellMar>
            <w:top w:w="15" w:type="dxa"/>
            <w:left w:w="15" w:type="dxa"/>
            <w:bottom w:w="15" w:type="dxa"/>
            <w:right w:w="15" w:type="dxa"/>
          </w:tblCellMar>
        </w:tblPrEx>
        <w:trPr>
          <w:trHeight w:val="285" w:hRule="atLeast"/>
        </w:trPr>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kern w:val="0"/>
                <w:sz w:val="15"/>
                <w:szCs w:val="15"/>
              </w:rPr>
              <w:t>人大专项网络维护费</w:t>
            </w:r>
          </w:p>
        </w:tc>
        <w:tc>
          <w:tcPr>
            <w:tcW w:w="1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kern w:val="0"/>
                <w:sz w:val="15"/>
                <w:szCs w:val="15"/>
              </w:rPr>
              <w:t>9.00</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kern w:val="0"/>
                <w:sz w:val="15"/>
                <w:szCs w:val="15"/>
              </w:rPr>
              <w:t>家具用具</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ascii="方正书宋_GBK" w:hAnsi="方正书宋_GBK" w:eastAsia="方正书宋_GBK" w:cs="方正书宋_GBK"/>
                <w:color w:val="000000"/>
                <w:kern w:val="0"/>
                <w:sz w:val="15"/>
                <w:szCs w:val="15"/>
              </w:rPr>
              <w:t>A06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套</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kern w:val="0"/>
                <w:sz w:val="15"/>
                <w:szCs w:val="15"/>
              </w:rPr>
              <w:t>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ascii="方正书宋_GBK" w:hAnsi="方正书宋_GBK" w:eastAsia="方正书宋_GBK" w:cs="方正书宋_GBK"/>
                <w:color w:val="000000"/>
                <w:kern w:val="0"/>
                <w:sz w:val="15"/>
                <w:szCs w:val="15"/>
              </w:rPr>
              <w:t>0.35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kern w:val="0"/>
                <w:sz w:val="15"/>
                <w:szCs w:val="15"/>
              </w:rPr>
              <w:t>2.45</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kern w:val="0"/>
                <w:sz w:val="15"/>
                <w:szCs w:val="15"/>
              </w:rPr>
              <w:t>2.45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kern w:val="0"/>
                <w:sz w:val="15"/>
                <w:szCs w:val="15"/>
              </w:rPr>
              <w:t>2.45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5"/>
                <w:szCs w:val="15"/>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5"/>
                <w:szCs w:val="15"/>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5"/>
                <w:szCs w:val="15"/>
              </w:rPr>
            </w:pPr>
          </w:p>
        </w:tc>
      </w:tr>
      <w:tr>
        <w:tblPrEx>
          <w:tblCellMar>
            <w:top w:w="15" w:type="dxa"/>
            <w:left w:w="15" w:type="dxa"/>
            <w:bottom w:w="15" w:type="dxa"/>
            <w:right w:w="15" w:type="dxa"/>
          </w:tblCellMar>
        </w:tblPrEx>
        <w:trPr>
          <w:trHeight w:val="285" w:hRule="atLeast"/>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 w:val="15"/>
                <w:szCs w:val="15"/>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ascii="方正书宋_GBK" w:hAnsi="方正书宋_GBK" w:eastAsia="方正书宋_GBK" w:cs="方正书宋_GBK"/>
                <w:color w:val="000000"/>
                <w:kern w:val="0"/>
                <w:sz w:val="15"/>
                <w:szCs w:val="15"/>
              </w:rPr>
              <w:t>计算机设备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ascii="方正书宋_GBK" w:hAnsi="方正书宋_GBK" w:eastAsia="方正书宋_GBK" w:cs="方正书宋_GBK"/>
                <w:color w:val="000000"/>
                <w:kern w:val="0"/>
                <w:sz w:val="15"/>
                <w:szCs w:val="15"/>
              </w:rPr>
              <w:t>A020101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kern w:val="0"/>
                <w:sz w:val="15"/>
                <w:szCs w:val="15"/>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ascii="方正书宋_GBK" w:hAnsi="方正书宋_GBK" w:eastAsia="方正书宋_GBK" w:cs="方正书宋_GBK"/>
                <w:color w:val="000000"/>
                <w:kern w:val="0"/>
                <w:sz w:val="15"/>
                <w:szCs w:val="15"/>
              </w:rPr>
              <w:t>0.</w:t>
            </w:r>
            <w:r>
              <w:rPr>
                <w:rFonts w:hint="eastAsia" w:ascii="方正书宋_GBK" w:hAnsi="方正书宋_GBK" w:eastAsia="方正书宋_GBK" w:cs="方正书宋_GBK"/>
                <w:color w:val="000000"/>
                <w:kern w:val="0"/>
                <w:sz w:val="15"/>
                <w:szCs w:val="15"/>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kern w:val="0"/>
                <w:sz w:val="15"/>
                <w:szCs w:val="15"/>
              </w:rPr>
              <w:t>2.0</w:t>
            </w:r>
          </w:p>
        </w:tc>
        <w:tc>
          <w:tcPr>
            <w:tcW w:w="72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kern w:val="0"/>
                <w:sz w:val="15"/>
                <w:szCs w:val="15"/>
              </w:rPr>
              <w:t>2.0</w:t>
            </w:r>
          </w:p>
        </w:tc>
        <w:tc>
          <w:tcPr>
            <w:tcW w:w="85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方正书宋_GBK" w:hAnsi="方正书宋_GBK" w:eastAsia="方正书宋_GBK" w:cs="方正书宋_GBK"/>
                <w:color w:val="000000"/>
                <w:kern w:val="0"/>
                <w:sz w:val="15"/>
                <w:szCs w:val="15"/>
              </w:rPr>
            </w:pPr>
            <w:r>
              <w:rPr>
                <w:rFonts w:hint="eastAsia" w:ascii="方正书宋_GBK" w:hAnsi="方正书宋_GBK" w:eastAsia="方正书宋_GBK" w:cs="方正书宋_GBK"/>
                <w:color w:val="000000"/>
                <w:kern w:val="0"/>
                <w:sz w:val="15"/>
                <w:szCs w:val="15"/>
              </w:rPr>
              <w:t>2.0</w:t>
            </w:r>
          </w:p>
        </w:tc>
        <w:tc>
          <w:tcPr>
            <w:tcW w:w="57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方正书宋_GBK" w:hAnsi="方正书宋_GBK" w:eastAsia="方正书宋_GBK" w:cs="方正书宋_GBK"/>
                <w:color w:val="000000"/>
                <w:kern w:val="0"/>
                <w:sz w:val="15"/>
                <w:szCs w:val="15"/>
              </w:rPr>
            </w:pPr>
          </w:p>
        </w:tc>
        <w:tc>
          <w:tcPr>
            <w:tcW w:w="57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kern w:val="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5"/>
                <w:szCs w:val="15"/>
              </w:rPr>
            </w:pPr>
          </w:p>
        </w:tc>
      </w:tr>
      <w:tr>
        <w:tblPrEx>
          <w:tblCellMar>
            <w:top w:w="15" w:type="dxa"/>
            <w:left w:w="15" w:type="dxa"/>
            <w:bottom w:w="15" w:type="dxa"/>
            <w:right w:w="15" w:type="dxa"/>
          </w:tblCellMar>
        </w:tblPrEx>
        <w:trPr>
          <w:trHeight w:val="251" w:hRule="atLeast"/>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 w:val="15"/>
                <w:szCs w:val="15"/>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kern w:val="0"/>
                <w:sz w:val="15"/>
                <w:szCs w:val="15"/>
              </w:rPr>
              <w:t>计算机设备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ascii="方正书宋_GBK" w:hAnsi="方正书宋_GBK" w:eastAsia="方正书宋_GBK" w:cs="方正书宋_GBK"/>
                <w:color w:val="000000"/>
                <w:kern w:val="0"/>
                <w:sz w:val="15"/>
                <w:szCs w:val="15"/>
              </w:rPr>
              <w:t>A020101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kern w:val="0"/>
                <w:sz w:val="15"/>
                <w:szCs w:val="15"/>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sz w:val="15"/>
                <w:szCs w:val="15"/>
              </w:rPr>
              <w:t>0.6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sz w:val="15"/>
                <w:szCs w:val="15"/>
              </w:rPr>
              <w:t>1.2</w:t>
            </w:r>
          </w:p>
        </w:tc>
        <w:tc>
          <w:tcPr>
            <w:tcW w:w="72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sz w:val="15"/>
                <w:szCs w:val="15"/>
              </w:rPr>
              <w:t>1.2</w:t>
            </w:r>
          </w:p>
        </w:tc>
        <w:tc>
          <w:tcPr>
            <w:tcW w:w="85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方正书宋_GBK" w:hAnsi="方正书宋_GBK" w:eastAsia="方正书宋_GBK" w:cs="方正书宋_GBK"/>
                <w:color w:val="000000"/>
                <w:kern w:val="0"/>
                <w:sz w:val="15"/>
                <w:szCs w:val="15"/>
              </w:rPr>
            </w:pPr>
            <w:r>
              <w:rPr>
                <w:rFonts w:hint="eastAsia" w:ascii="方正书宋_GBK" w:hAnsi="方正书宋_GBK" w:eastAsia="方正书宋_GBK" w:cs="方正书宋_GBK"/>
                <w:color w:val="000000"/>
                <w:kern w:val="0"/>
                <w:sz w:val="15"/>
                <w:szCs w:val="15"/>
              </w:rPr>
              <w:t>1.2</w:t>
            </w:r>
          </w:p>
        </w:tc>
        <w:tc>
          <w:tcPr>
            <w:tcW w:w="57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方正书宋_GBK" w:hAnsi="方正书宋_GBK" w:eastAsia="方正书宋_GBK" w:cs="方正书宋_GBK"/>
                <w:color w:val="000000"/>
                <w:kern w:val="0"/>
                <w:sz w:val="15"/>
                <w:szCs w:val="15"/>
              </w:rPr>
            </w:pPr>
          </w:p>
        </w:tc>
        <w:tc>
          <w:tcPr>
            <w:tcW w:w="57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kern w:val="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5"/>
                <w:szCs w:val="15"/>
              </w:rPr>
            </w:pPr>
          </w:p>
        </w:tc>
      </w:tr>
      <w:tr>
        <w:tblPrEx>
          <w:tblCellMar>
            <w:top w:w="15" w:type="dxa"/>
            <w:left w:w="15" w:type="dxa"/>
            <w:bottom w:w="15" w:type="dxa"/>
            <w:right w:w="15" w:type="dxa"/>
          </w:tblCellMar>
        </w:tblPrEx>
        <w:trPr>
          <w:trHeight w:val="285" w:hRule="atLeast"/>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 w:val="15"/>
                <w:szCs w:val="15"/>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sz w:val="15"/>
                <w:szCs w:val="15"/>
              </w:rPr>
              <w:t>打印设备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sz w:val="15"/>
                <w:szCs w:val="15"/>
              </w:rPr>
              <w:t>A02010601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sz w:val="15"/>
                <w:szCs w:val="15"/>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sz w:val="15"/>
                <w:szCs w:val="15"/>
              </w:rPr>
              <w:t>0.25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sz w:val="15"/>
                <w:szCs w:val="15"/>
              </w:rPr>
              <w:t>0.75</w:t>
            </w:r>
          </w:p>
        </w:tc>
        <w:tc>
          <w:tcPr>
            <w:tcW w:w="72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sz w:val="15"/>
                <w:szCs w:val="15"/>
              </w:rPr>
              <w:t>0.75</w:t>
            </w:r>
          </w:p>
        </w:tc>
        <w:tc>
          <w:tcPr>
            <w:tcW w:w="85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方正书宋_GBK" w:hAnsi="方正书宋_GBK" w:eastAsia="方正书宋_GBK" w:cs="方正书宋_GBK"/>
                <w:color w:val="000000"/>
                <w:kern w:val="0"/>
                <w:sz w:val="15"/>
                <w:szCs w:val="15"/>
              </w:rPr>
            </w:pPr>
            <w:r>
              <w:rPr>
                <w:rFonts w:hint="eastAsia" w:ascii="方正书宋_GBK" w:hAnsi="方正书宋_GBK" w:eastAsia="方正书宋_GBK" w:cs="方正书宋_GBK"/>
                <w:color w:val="000000"/>
                <w:kern w:val="0"/>
                <w:sz w:val="15"/>
                <w:szCs w:val="15"/>
              </w:rPr>
              <w:t>0.75</w:t>
            </w:r>
          </w:p>
        </w:tc>
        <w:tc>
          <w:tcPr>
            <w:tcW w:w="57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方正书宋_GBK" w:hAnsi="方正书宋_GBK" w:eastAsia="方正书宋_GBK" w:cs="方正书宋_GBK"/>
                <w:color w:val="000000"/>
                <w:kern w:val="0"/>
                <w:sz w:val="15"/>
                <w:szCs w:val="15"/>
              </w:rPr>
            </w:pPr>
          </w:p>
        </w:tc>
        <w:tc>
          <w:tcPr>
            <w:tcW w:w="57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kern w:val="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5"/>
                <w:szCs w:val="15"/>
              </w:rPr>
            </w:pPr>
          </w:p>
        </w:tc>
      </w:tr>
      <w:tr>
        <w:tblPrEx>
          <w:tblCellMar>
            <w:top w:w="15" w:type="dxa"/>
            <w:left w:w="15" w:type="dxa"/>
            <w:bottom w:w="15" w:type="dxa"/>
            <w:right w:w="15" w:type="dxa"/>
          </w:tblCellMar>
        </w:tblPrEx>
        <w:trPr>
          <w:trHeight w:val="285" w:hRule="atLeast"/>
        </w:trPr>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 w:val="15"/>
                <w:szCs w:val="15"/>
              </w:rPr>
            </w:pPr>
          </w:p>
        </w:tc>
        <w:tc>
          <w:tcPr>
            <w:tcW w:w="1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5"/>
                <w:szCs w:val="15"/>
              </w:rPr>
            </w:pP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kern w:val="0"/>
                <w:sz w:val="15"/>
                <w:szCs w:val="15"/>
              </w:rPr>
              <w:t>打印设备</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书宋_GBK" w:hAnsi="方正书宋_GBK" w:eastAsia="方正书宋_GBK" w:cs="方正书宋_GBK"/>
                <w:color w:val="000000"/>
                <w:sz w:val="15"/>
                <w:szCs w:val="15"/>
              </w:rPr>
            </w:pPr>
            <w:r>
              <w:rPr>
                <w:rFonts w:ascii="方正书宋_GBK" w:hAnsi="方正书宋_GBK" w:eastAsia="方正书宋_GBK" w:cs="方正书宋_GBK"/>
                <w:color w:val="000000"/>
                <w:kern w:val="0"/>
                <w:sz w:val="15"/>
                <w:szCs w:val="15"/>
              </w:rPr>
              <w:t>A</w:t>
            </w:r>
            <w:r>
              <w:rPr>
                <w:rFonts w:hint="eastAsia" w:ascii="方正书宋_GBK" w:hAnsi="方正书宋_GBK" w:eastAsia="方正书宋_GBK" w:cs="方正书宋_GBK"/>
                <w:color w:val="000000"/>
                <w:kern w:val="0"/>
                <w:sz w:val="15"/>
                <w:szCs w:val="15"/>
              </w:rPr>
              <w:t>02010601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kern w:val="0"/>
                <w:sz w:val="15"/>
                <w:szCs w:val="15"/>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kern w:val="0"/>
                <w:sz w:val="15"/>
                <w:szCs w:val="15"/>
              </w:rPr>
              <w:t>0.65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hint="eastAsia" w:ascii="方正书宋_GBK" w:hAnsi="方正书宋_GBK" w:eastAsia="方正书宋_GBK" w:cs="方正书宋_GBK"/>
                <w:color w:val="000000"/>
                <w:kern w:val="0"/>
                <w:sz w:val="15"/>
                <w:szCs w:val="15"/>
              </w:rPr>
              <w:t>2.6</w:t>
            </w:r>
          </w:p>
        </w:tc>
        <w:tc>
          <w:tcPr>
            <w:tcW w:w="72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r>
              <w:rPr>
                <w:rFonts w:ascii="方正书宋_GBK" w:hAnsi="方正书宋_GBK" w:eastAsia="方正书宋_GBK" w:cs="方正书宋_GBK"/>
                <w:color w:val="000000"/>
                <w:kern w:val="0"/>
                <w:sz w:val="15"/>
                <w:szCs w:val="15"/>
              </w:rPr>
              <w:t>2.6</w:t>
            </w:r>
          </w:p>
        </w:tc>
        <w:tc>
          <w:tcPr>
            <w:tcW w:w="85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方正书宋_GBK" w:hAnsi="方正书宋_GBK" w:eastAsia="方正书宋_GBK" w:cs="方正书宋_GBK"/>
                <w:color w:val="000000"/>
                <w:kern w:val="0"/>
                <w:sz w:val="15"/>
                <w:szCs w:val="15"/>
              </w:rPr>
            </w:pPr>
            <w:r>
              <w:rPr>
                <w:rFonts w:hint="eastAsia" w:ascii="方正书宋_GBK" w:hAnsi="方正书宋_GBK" w:eastAsia="方正书宋_GBK" w:cs="方正书宋_GBK"/>
                <w:color w:val="000000"/>
                <w:kern w:val="0"/>
                <w:sz w:val="15"/>
                <w:szCs w:val="15"/>
              </w:rPr>
              <w:t>2.6</w:t>
            </w:r>
          </w:p>
        </w:tc>
        <w:tc>
          <w:tcPr>
            <w:tcW w:w="57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方正书宋_GBK" w:hAnsi="方正书宋_GBK" w:eastAsia="方正书宋_GBK" w:cs="方正书宋_GBK"/>
                <w:color w:val="000000"/>
                <w:kern w:val="0"/>
                <w:sz w:val="15"/>
                <w:szCs w:val="15"/>
              </w:rPr>
            </w:pPr>
          </w:p>
        </w:tc>
        <w:tc>
          <w:tcPr>
            <w:tcW w:w="57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kern w:val="0"/>
                <w:sz w:val="15"/>
                <w:szCs w:val="15"/>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书宋_GBK" w:hAnsi="方正书宋_GBK" w:eastAsia="方正书宋_GBK" w:cs="方正书宋_GBK"/>
                <w:color w:val="000000"/>
                <w:sz w:val="15"/>
                <w:szCs w:val="15"/>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5"/>
                <w:szCs w:val="15"/>
              </w:rPr>
            </w:pPr>
          </w:p>
        </w:tc>
      </w:tr>
    </w:tbl>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rPr>
          <w:rFonts w:ascii="仿宋" w:hAnsi="仿宋" w:eastAsia="仿宋"/>
          <w:b/>
          <w:sz w:val="44"/>
          <w:szCs w:val="44"/>
        </w:rPr>
      </w:pPr>
      <w:r>
        <w:rPr>
          <w:rFonts w:hint="eastAsia" w:ascii="仿宋_GB2312" w:hAnsi="黑体" w:eastAsia="仿宋_GB2312" w:cs="Times New Roman"/>
          <w:sz w:val="32"/>
          <w:szCs w:val="32"/>
        </w:rPr>
        <w:t xml:space="preserve">   </w:t>
      </w:r>
      <w:r>
        <w:rPr>
          <w:rFonts w:hint="eastAsia" w:ascii="仿宋" w:hAnsi="仿宋" w:eastAsia="仿宋" w:cs="Times New Roman"/>
          <w:sz w:val="32"/>
          <w:szCs w:val="32"/>
        </w:rPr>
        <w:t xml:space="preserve">   上年末固定资产金额为568.23万元，本年度单位拟购置固定资产主要为计算机、打印设备和家具用具等（详见上表）共计9万元。本年预算拟购置的固定资产为其他固定资产，已列入政府采购预算表。</w:t>
      </w:r>
    </w:p>
    <w:p>
      <w:pPr>
        <w:rPr>
          <w:rFonts w:ascii="仿宋" w:hAnsi="仿宋" w:eastAsia="仿宋" w:cs="仿宋_GB2312"/>
          <w:sz w:val="32"/>
          <w:szCs w:val="32"/>
        </w:rPr>
      </w:pPr>
      <w:r>
        <w:rPr>
          <w:rFonts w:hint="eastAsia" w:ascii="仿宋" w:hAnsi="仿宋" w:eastAsia="仿宋" w:cs="仿宋_GB2312"/>
          <w:sz w:val="32"/>
          <w:szCs w:val="32"/>
        </w:rPr>
        <w:t>我部门严格按照国有资产有关规定管理本部门国有资产,现将具体情况说明如下:</w:t>
      </w:r>
    </w:p>
    <w:p>
      <w:pPr>
        <w:ind w:firstLine="630"/>
        <w:rPr>
          <w:rFonts w:ascii="仿宋" w:hAnsi="仿宋" w:eastAsia="仿宋" w:cs="仿宋_GB2312"/>
          <w:sz w:val="32"/>
          <w:szCs w:val="32"/>
        </w:rPr>
      </w:pPr>
      <w:r>
        <w:rPr>
          <w:rFonts w:hint="eastAsia" w:ascii="仿宋" w:hAnsi="仿宋" w:eastAsia="仿宋" w:cs="仿宋_GB2312"/>
          <w:sz w:val="32"/>
          <w:szCs w:val="32"/>
        </w:rPr>
        <w:t>一、2018年度国有资产占有情况</w:t>
      </w:r>
    </w:p>
    <w:p>
      <w:pPr>
        <w:ind w:firstLine="630"/>
        <w:rPr>
          <w:rFonts w:ascii="仿宋" w:hAnsi="仿宋" w:eastAsia="仿宋"/>
          <w:sz w:val="32"/>
          <w:szCs w:val="32"/>
        </w:rPr>
      </w:pPr>
      <w:r>
        <w:rPr>
          <w:rFonts w:hint="eastAsia" w:ascii="仿宋" w:hAnsi="仿宋" w:eastAsia="仿宋" w:cs="仿宋_GB2312"/>
          <w:sz w:val="32"/>
          <w:szCs w:val="32"/>
        </w:rPr>
        <w:t>总体情况：上年年末我单位资产总额为964.17</w:t>
      </w:r>
      <w:r>
        <w:rPr>
          <w:rFonts w:hint="eastAsia" w:ascii="仿宋" w:hAnsi="仿宋" w:eastAsia="仿宋"/>
          <w:sz w:val="32"/>
          <w:szCs w:val="32"/>
        </w:rPr>
        <w:t>万元。</w:t>
      </w:r>
    </w:p>
    <w:p>
      <w:pPr>
        <w:ind w:firstLine="630"/>
        <w:rPr>
          <w:rFonts w:ascii="仿宋" w:hAnsi="仿宋" w:eastAsia="仿宋" w:cs="仿宋_GB2312"/>
          <w:sz w:val="32"/>
          <w:szCs w:val="32"/>
        </w:rPr>
      </w:pPr>
      <w:r>
        <w:rPr>
          <w:rFonts w:hint="eastAsia" w:ascii="仿宋" w:hAnsi="仿宋" w:eastAsia="仿宋" w:cs="仿宋_GB2312"/>
          <w:sz w:val="32"/>
          <w:szCs w:val="32"/>
        </w:rPr>
        <w:t>分布构成：</w:t>
      </w:r>
    </w:p>
    <w:p>
      <w:pPr>
        <w:ind w:firstLine="630"/>
        <w:rPr>
          <w:rFonts w:ascii="仿宋" w:hAnsi="仿宋" w:eastAsia="仿宋" w:cs="仿宋_GB2312"/>
          <w:sz w:val="32"/>
          <w:szCs w:val="32"/>
        </w:rPr>
      </w:pPr>
      <w:r>
        <w:rPr>
          <w:rFonts w:hint="eastAsia" w:ascii="仿宋" w:hAnsi="仿宋" w:eastAsia="仿宋" w:cs="仿宋_GB2312"/>
          <w:sz w:val="32"/>
          <w:szCs w:val="32"/>
        </w:rPr>
        <w:t>我单位资产构成：流动资产395.94万元，固定资产568.23万元，其中：</w:t>
      </w:r>
    </w:p>
    <w:p>
      <w:pPr>
        <w:ind w:firstLine="630"/>
        <w:rPr>
          <w:rFonts w:ascii="仿宋" w:hAnsi="仿宋" w:eastAsia="仿宋" w:cs="仿宋_GB2312"/>
          <w:sz w:val="32"/>
          <w:szCs w:val="32"/>
        </w:rPr>
      </w:pPr>
      <w:r>
        <w:rPr>
          <w:rFonts w:hint="eastAsia" w:ascii="仿宋" w:hAnsi="仿宋" w:eastAsia="仿宋" w:cs="仿宋_GB2312"/>
          <w:sz w:val="32"/>
          <w:szCs w:val="32"/>
        </w:rPr>
        <w:t>主要实物数据：汽车12辆，价值306.81万元；其他固定资产261.42万元。</w:t>
      </w:r>
    </w:p>
    <w:p>
      <w:pPr>
        <w:ind w:firstLine="630"/>
        <w:rPr>
          <w:rFonts w:ascii="仿宋" w:hAnsi="仿宋" w:eastAsia="仿宋" w:cs="仿宋_GB2312"/>
          <w:sz w:val="32"/>
          <w:szCs w:val="32"/>
        </w:rPr>
      </w:pPr>
    </w:p>
    <w:p>
      <w:pPr>
        <w:ind w:firstLine="630"/>
        <w:rPr>
          <w:rFonts w:ascii="仿宋_GB2312" w:hAnsi="仿宋_GB2312" w:eastAsia="仿宋_GB2312" w:cs="仿宋_GB2312"/>
          <w:sz w:val="32"/>
          <w:szCs w:val="32"/>
        </w:rPr>
      </w:pPr>
    </w:p>
    <w:tbl>
      <w:tblPr>
        <w:tblStyle w:val="4"/>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机关固定资产情况表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rPr>
              <w:t>承德市人民代表大会常务委员会办公室</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rPr>
              <w:t>8</w:t>
            </w:r>
            <w:r>
              <w:rPr>
                <w:rFonts w:ascii="Times New Roman" w:hAnsi="Times New Roman" w:eastAsia="仿宋" w:cs="Times New Roman"/>
                <w:kern w:val="0"/>
                <w:sz w:val="22"/>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hint="eastAsia" w:ascii="Times New Roman" w:hAnsi="Times New Roman" w:eastAsia="仿宋" w:cs="Times New Roman"/>
                <w:color w:val="000000"/>
                <w:kern w:val="0"/>
                <w:sz w:val="22"/>
              </w:rPr>
              <w:t>568.23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12</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306.81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261.42</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autoSpaceDE w:val="0"/>
        <w:autoSpaceDN w:val="0"/>
        <w:adjustRightInd w:val="0"/>
        <w:ind w:left="420" w:leftChars="200" w:firstLine="640" w:firstLineChars="200"/>
        <w:jc w:val="left"/>
        <w:rPr>
          <w:rFonts w:ascii="仿宋" w:hAnsi="仿宋" w:eastAsia="仿宋" w:cs="仿宋_GB2312"/>
          <w:sz w:val="32"/>
          <w:szCs w:val="32"/>
        </w:rPr>
      </w:pPr>
      <w:r>
        <w:rPr>
          <w:rFonts w:hint="eastAsia" w:ascii="仿宋" w:hAnsi="仿宋" w:eastAsia="仿宋" w:cs="仿宋_GB2312"/>
          <w:sz w:val="32"/>
          <w:szCs w:val="32"/>
        </w:rPr>
        <w:t>1、一般公共预算拨款收入：市级财政当年拨付的资金。</w:t>
      </w:r>
    </w:p>
    <w:p>
      <w:pPr>
        <w:autoSpaceDE w:val="0"/>
        <w:autoSpaceDN w:val="0"/>
        <w:adjustRightInd w:val="0"/>
        <w:ind w:left="420" w:leftChars="200" w:firstLine="640" w:firstLineChars="200"/>
        <w:jc w:val="left"/>
        <w:rPr>
          <w:rFonts w:ascii="仿宋" w:hAnsi="仿宋" w:eastAsia="仿宋" w:cs="仿宋_GB2312"/>
          <w:sz w:val="32"/>
          <w:szCs w:val="32"/>
        </w:rPr>
      </w:pPr>
      <w:r>
        <w:rPr>
          <w:rFonts w:hint="eastAsia" w:ascii="仿宋" w:hAnsi="仿宋" w:eastAsia="仿宋" w:cs="仿宋_GB2312"/>
          <w:sz w:val="32"/>
          <w:szCs w:val="32"/>
        </w:rPr>
        <w:t>2、基本支出：为保障机构正常运转，完成日常工作任务，而发生的人员支出和公用支出。</w:t>
      </w:r>
    </w:p>
    <w:p>
      <w:pPr>
        <w:autoSpaceDE w:val="0"/>
        <w:autoSpaceDN w:val="0"/>
        <w:adjustRightInd w:val="0"/>
        <w:ind w:firstLine="960" w:firstLineChars="300"/>
        <w:jc w:val="left"/>
        <w:rPr>
          <w:rFonts w:ascii="仿宋" w:hAnsi="仿宋" w:eastAsia="仿宋" w:cs="仿宋_GB2312"/>
          <w:sz w:val="32"/>
          <w:szCs w:val="32"/>
        </w:rPr>
      </w:pPr>
      <w:r>
        <w:rPr>
          <w:rFonts w:hint="eastAsia" w:ascii="仿宋" w:hAnsi="仿宋" w:eastAsia="仿宋" w:cs="仿宋_GB2312"/>
          <w:sz w:val="32"/>
          <w:szCs w:val="32"/>
        </w:rPr>
        <w:t>3、项目支出：是指在基本支出之外，为完成特定行政任务和事业发展目标，而发生的支出。</w:t>
      </w:r>
    </w:p>
    <w:p>
      <w:pPr>
        <w:spacing w:line="600" w:lineRule="exact"/>
        <w:ind w:firstLine="960" w:firstLineChars="300"/>
        <w:rPr>
          <w:rFonts w:ascii="仿宋" w:hAnsi="仿宋" w:eastAsia="仿宋" w:cs="仿宋_GB2312"/>
          <w:sz w:val="32"/>
          <w:szCs w:val="32"/>
        </w:rPr>
      </w:pPr>
      <w:r>
        <w:rPr>
          <w:rFonts w:hint="eastAsia" w:ascii="仿宋" w:hAnsi="仿宋" w:eastAsia="仿宋" w:cs="仿宋_GB2312"/>
          <w:sz w:val="32"/>
          <w:szCs w:val="32"/>
        </w:rPr>
        <w:t>4、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spacing w:line="600" w:lineRule="exact"/>
        <w:ind w:firstLine="960" w:firstLineChars="300"/>
        <w:rPr>
          <w:rFonts w:ascii="仿宋" w:hAnsi="仿宋" w:eastAsia="仿宋" w:cs="仿宋_GB2312"/>
          <w:sz w:val="32"/>
          <w:szCs w:val="32"/>
        </w:rPr>
      </w:pPr>
      <w:r>
        <w:rPr>
          <w:rFonts w:hint="eastAsia" w:ascii="仿宋" w:hAnsi="仿宋" w:eastAsia="仿宋" w:cs="仿宋_GB2312"/>
          <w:sz w:val="32"/>
          <w:szCs w:val="32"/>
        </w:rPr>
        <w:t>5、三公经费：是指因公出国（境）费、公务用车购置及维护运行费、公务接待费。</w:t>
      </w:r>
    </w:p>
    <w:p>
      <w:pPr>
        <w:spacing w:line="600" w:lineRule="exact"/>
        <w:ind w:firstLine="643" w:firstLineChars="200"/>
        <w:rPr>
          <w:rFonts w:ascii="仿宋" w:hAnsi="仿宋" w:eastAsia="仿宋" w:cs="宋体-方正超大字符集"/>
          <w:b/>
          <w:bCs/>
          <w:sz w:val="32"/>
          <w:szCs w:val="32"/>
        </w:rPr>
      </w:pPr>
      <w:r>
        <w:rPr>
          <w:rFonts w:hint="eastAsia" w:ascii="仿宋" w:hAnsi="仿宋" w:eastAsia="仿宋"/>
          <w:b/>
          <w:bCs/>
          <w:sz w:val="32"/>
          <w:szCs w:val="32"/>
        </w:rPr>
        <w:t>九</w:t>
      </w:r>
      <w:r>
        <w:rPr>
          <w:rFonts w:hint="eastAsia" w:ascii="仿宋" w:hAnsi="仿宋" w:eastAsia="仿宋" w:cs="宋体-方正超大字符集"/>
          <w:b/>
          <w:bCs/>
          <w:sz w:val="32"/>
          <w:szCs w:val="32"/>
        </w:rPr>
        <w:t>、其他需要说明的事项</w:t>
      </w:r>
    </w:p>
    <w:p>
      <w:pPr>
        <w:autoSpaceDE w:val="0"/>
        <w:autoSpaceDN w:val="0"/>
        <w:adjustRightInd w:val="0"/>
        <w:ind w:left="420" w:leftChars="200" w:firstLine="640" w:firstLineChars="200"/>
        <w:jc w:val="left"/>
        <w:rPr>
          <w:rFonts w:ascii="仿宋" w:hAnsi="仿宋" w:eastAsia="仿宋"/>
          <w:bCs/>
          <w:sz w:val="32"/>
          <w:szCs w:val="32"/>
        </w:rPr>
      </w:pPr>
      <w:r>
        <w:rPr>
          <w:rFonts w:hint="eastAsia" w:ascii="仿宋" w:hAnsi="仿宋" w:eastAsia="仿宋"/>
          <w:bCs/>
          <w:sz w:val="32"/>
          <w:szCs w:val="32"/>
        </w:rPr>
        <w:t>预算批准日为2019年2月14日，批复文件文号承财预【2019】10号。</w:t>
      </w:r>
    </w:p>
    <w:p>
      <w:pPr>
        <w:autoSpaceDE w:val="0"/>
        <w:autoSpaceDN w:val="0"/>
        <w:adjustRightInd w:val="0"/>
        <w:jc w:val="left"/>
        <w:rPr>
          <w:rFonts w:ascii="仿宋" w:hAnsi="仿宋" w:eastAsia="仿宋"/>
          <w:bCs/>
          <w:sz w:val="32"/>
          <w:szCs w:val="32"/>
        </w:rPr>
      </w:pPr>
      <w:r>
        <w:rPr>
          <w:rFonts w:hint="eastAsia" w:ascii="仿宋" w:hAnsi="仿宋" w:eastAsia="仿宋"/>
          <w:bCs/>
          <w:sz w:val="32"/>
          <w:szCs w:val="32"/>
        </w:rPr>
        <w:t xml:space="preserve">       我部门无其他需要说明的事项。</w:t>
      </w:r>
    </w:p>
    <w:sectPr>
      <w:pgSz w:w="16783" w:h="11850"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汉仪粗仿宋简">
    <w:altName w:val="仿宋"/>
    <w:panose1 w:val="00000000000000000000"/>
    <w:charset w:val="86"/>
    <w:family w:val="auto"/>
    <w:pitch w:val="default"/>
    <w:sig w:usb0="00000000" w:usb1="00000000" w:usb2="00000002" w:usb3="00000000" w:csb0="00040000" w:csb1="00000000"/>
  </w:font>
  <w:font w:name="汉仪中黑简">
    <w:altName w:val="黑体"/>
    <w:panose1 w:val="00000000000000000000"/>
    <w:charset w:val="86"/>
    <w:family w:val="modern"/>
    <w:pitch w:val="default"/>
    <w:sig w:usb0="00000000" w:usb1="00000000" w:usb2="00000002"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5645F"/>
    <w:multiLevelType w:val="singleLevel"/>
    <w:tmpl w:val="8495645F"/>
    <w:lvl w:ilvl="0" w:tentative="0">
      <w:start w:val="6"/>
      <w:numFmt w:val="chineseCounting"/>
      <w:suff w:val="nothing"/>
      <w:lvlText w:val="%1、"/>
      <w:lvlJc w:val="left"/>
      <w:rPr>
        <w:rFonts w:hint="eastAsia"/>
      </w:rPr>
    </w:lvl>
  </w:abstractNum>
  <w:abstractNum w:abstractNumId="1">
    <w:nsid w:val="D0082E99"/>
    <w:multiLevelType w:val="singleLevel"/>
    <w:tmpl w:val="D0082E99"/>
    <w:lvl w:ilvl="0" w:tentative="0">
      <w:start w:val="1"/>
      <w:numFmt w:val="chineseCounting"/>
      <w:suff w:val="nothing"/>
      <w:lvlText w:val="%1、"/>
      <w:lvlJc w:val="left"/>
      <w:rPr>
        <w:rFonts w:hint="eastAsia"/>
      </w:rPr>
    </w:lvl>
  </w:abstractNum>
  <w:abstractNum w:abstractNumId="2">
    <w:nsid w:val="58818F2D"/>
    <w:multiLevelType w:val="singleLevel"/>
    <w:tmpl w:val="58818F2D"/>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6ABA"/>
    <w:rsid w:val="00034872"/>
    <w:rsid w:val="00051D76"/>
    <w:rsid w:val="00053BB0"/>
    <w:rsid w:val="0006389F"/>
    <w:rsid w:val="000727EC"/>
    <w:rsid w:val="000729C9"/>
    <w:rsid w:val="00075745"/>
    <w:rsid w:val="00082BF8"/>
    <w:rsid w:val="000C69B7"/>
    <w:rsid w:val="000D1116"/>
    <w:rsid w:val="000D6549"/>
    <w:rsid w:val="00116015"/>
    <w:rsid w:val="00170EC8"/>
    <w:rsid w:val="0018104C"/>
    <w:rsid w:val="001B5D45"/>
    <w:rsid w:val="001C0731"/>
    <w:rsid w:val="001C4942"/>
    <w:rsid w:val="001F05CE"/>
    <w:rsid w:val="001F2F5E"/>
    <w:rsid w:val="00217836"/>
    <w:rsid w:val="00217E3E"/>
    <w:rsid w:val="00250CCB"/>
    <w:rsid w:val="00282A30"/>
    <w:rsid w:val="0029326C"/>
    <w:rsid w:val="00294663"/>
    <w:rsid w:val="002A04A7"/>
    <w:rsid w:val="002C6ABA"/>
    <w:rsid w:val="00305C80"/>
    <w:rsid w:val="003253BB"/>
    <w:rsid w:val="00364FC6"/>
    <w:rsid w:val="00372985"/>
    <w:rsid w:val="0037726A"/>
    <w:rsid w:val="003823B1"/>
    <w:rsid w:val="003A4001"/>
    <w:rsid w:val="003E6018"/>
    <w:rsid w:val="003F5068"/>
    <w:rsid w:val="00404E3F"/>
    <w:rsid w:val="00417EC8"/>
    <w:rsid w:val="0045165F"/>
    <w:rsid w:val="00461143"/>
    <w:rsid w:val="00461450"/>
    <w:rsid w:val="004725AE"/>
    <w:rsid w:val="004834F7"/>
    <w:rsid w:val="00486009"/>
    <w:rsid w:val="0048749E"/>
    <w:rsid w:val="004F3594"/>
    <w:rsid w:val="0051421A"/>
    <w:rsid w:val="00516097"/>
    <w:rsid w:val="00562E2F"/>
    <w:rsid w:val="00566597"/>
    <w:rsid w:val="00566B5B"/>
    <w:rsid w:val="00567AA2"/>
    <w:rsid w:val="00597B04"/>
    <w:rsid w:val="005A1401"/>
    <w:rsid w:val="005A6A76"/>
    <w:rsid w:val="005C1AD7"/>
    <w:rsid w:val="005D2EEB"/>
    <w:rsid w:val="00624E8F"/>
    <w:rsid w:val="00635049"/>
    <w:rsid w:val="0066733E"/>
    <w:rsid w:val="006B5FAD"/>
    <w:rsid w:val="006B751F"/>
    <w:rsid w:val="006C03DF"/>
    <w:rsid w:val="006D13AA"/>
    <w:rsid w:val="006D1799"/>
    <w:rsid w:val="00752CC2"/>
    <w:rsid w:val="007B4A39"/>
    <w:rsid w:val="007D1EFB"/>
    <w:rsid w:val="007D1F27"/>
    <w:rsid w:val="00803365"/>
    <w:rsid w:val="008078DB"/>
    <w:rsid w:val="008116A2"/>
    <w:rsid w:val="00815A66"/>
    <w:rsid w:val="00860D77"/>
    <w:rsid w:val="00877083"/>
    <w:rsid w:val="008940D0"/>
    <w:rsid w:val="008C17E9"/>
    <w:rsid w:val="008D3D5D"/>
    <w:rsid w:val="009122DC"/>
    <w:rsid w:val="00912835"/>
    <w:rsid w:val="00926302"/>
    <w:rsid w:val="0093597C"/>
    <w:rsid w:val="009371D1"/>
    <w:rsid w:val="00937DFE"/>
    <w:rsid w:val="009B0DDC"/>
    <w:rsid w:val="009D7CFB"/>
    <w:rsid w:val="00A205B3"/>
    <w:rsid w:val="00A227CF"/>
    <w:rsid w:val="00A50C10"/>
    <w:rsid w:val="00A5517B"/>
    <w:rsid w:val="00A81B9A"/>
    <w:rsid w:val="00AC1CB1"/>
    <w:rsid w:val="00AC295A"/>
    <w:rsid w:val="00AC4E80"/>
    <w:rsid w:val="00B11823"/>
    <w:rsid w:val="00B249DC"/>
    <w:rsid w:val="00B5301C"/>
    <w:rsid w:val="00B665DE"/>
    <w:rsid w:val="00B73919"/>
    <w:rsid w:val="00B741DB"/>
    <w:rsid w:val="00B9027A"/>
    <w:rsid w:val="00B905FF"/>
    <w:rsid w:val="00BB48C4"/>
    <w:rsid w:val="00BC0DE0"/>
    <w:rsid w:val="00BD005F"/>
    <w:rsid w:val="00C149EB"/>
    <w:rsid w:val="00C36107"/>
    <w:rsid w:val="00CA5D48"/>
    <w:rsid w:val="00CB529E"/>
    <w:rsid w:val="00CF156A"/>
    <w:rsid w:val="00D60349"/>
    <w:rsid w:val="00D742A6"/>
    <w:rsid w:val="00D81EA1"/>
    <w:rsid w:val="00D858D4"/>
    <w:rsid w:val="00DA22DB"/>
    <w:rsid w:val="00DB2241"/>
    <w:rsid w:val="00DD2878"/>
    <w:rsid w:val="00DD2B7C"/>
    <w:rsid w:val="00E03166"/>
    <w:rsid w:val="00E101C1"/>
    <w:rsid w:val="00E21BDE"/>
    <w:rsid w:val="00E46CB3"/>
    <w:rsid w:val="00E5060F"/>
    <w:rsid w:val="00EC4FEB"/>
    <w:rsid w:val="00ED1FF5"/>
    <w:rsid w:val="00F039A5"/>
    <w:rsid w:val="00F22FFD"/>
    <w:rsid w:val="00F361CF"/>
    <w:rsid w:val="00F363DD"/>
    <w:rsid w:val="00F37E42"/>
    <w:rsid w:val="00F40F55"/>
    <w:rsid w:val="00F52CF5"/>
    <w:rsid w:val="00F738CE"/>
    <w:rsid w:val="00F838C5"/>
    <w:rsid w:val="00F865B3"/>
    <w:rsid w:val="00F905D2"/>
    <w:rsid w:val="00F95EFA"/>
    <w:rsid w:val="00FB5FC7"/>
    <w:rsid w:val="00FE1679"/>
    <w:rsid w:val="128C5972"/>
    <w:rsid w:val="2CC97EAA"/>
    <w:rsid w:val="2D765EEC"/>
    <w:rsid w:val="4DB8437E"/>
    <w:rsid w:val="563734CB"/>
    <w:rsid w:val="58761F2C"/>
    <w:rsid w:val="61473E50"/>
    <w:rsid w:val="638C5530"/>
    <w:rsid w:val="6D522D05"/>
    <w:rsid w:val="703C38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黑体"/>
      <w:sz w:val="18"/>
      <w:szCs w:val="18"/>
    </w:rPr>
  </w:style>
  <w:style w:type="character" w:customStyle="1" w:styleId="7">
    <w:name w:val="页脚 Char"/>
    <w:basedOn w:val="5"/>
    <w:link w:val="2"/>
    <w:semiHidden/>
    <w:qFormat/>
    <w:uiPriority w:val="99"/>
    <w:rPr>
      <w:rFonts w:ascii="Calibri" w:hAnsi="Calibri" w:eastAsia="宋体" w:cs="黑体"/>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98CBE-D78E-4F39-902B-4FD3110B893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1712</Words>
  <Characters>9764</Characters>
  <Lines>81</Lines>
  <Paragraphs>22</Paragraphs>
  <TotalTime>1292</TotalTime>
  <ScaleCrop>false</ScaleCrop>
  <LinksUpToDate>false</LinksUpToDate>
  <CharactersWithSpaces>11454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2019-02-25T07:03:00Z</dcterms:created>
  <dc:creator>微软用户</dc:creator>
  <cp:lastModifiedBy>Administrator</cp:lastModifiedBy>
  <dcterms:modified xsi:type="dcterms:W3CDTF">2023-03-17T03:11:44Z</dcterms:modified>
  <cp:revision>527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E68098F92E624F96BB63486CD948DF62</vt:lpwstr>
  </property>
</Properties>
</file>